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theme/themeOverride1.xml" ContentType="application/vnd.openxmlformats-officedocument.themeOverrid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theme/themeOverride2.xml" ContentType="application/vnd.openxmlformats-officedocument.themeOverride+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F5FE66D" w14:textId="0172A0BD" w:rsidR="00E90E49" w:rsidRPr="00982938" w:rsidRDefault="00E90E49" w:rsidP="00385DD3">
      <w:pPr>
        <w:pStyle w:val="3GPPHeader"/>
        <w:rPr>
          <w:highlight w:val="yellow"/>
        </w:rPr>
      </w:pPr>
      <w:r w:rsidRPr="00982938">
        <w:t>3GPP TSG-RAN WG</w:t>
      </w:r>
      <w:r w:rsidR="00790B99" w:rsidRPr="00982938">
        <w:t>1</w:t>
      </w:r>
      <w:r w:rsidRPr="00982938">
        <w:t xml:space="preserve"> #</w:t>
      </w:r>
      <w:r w:rsidR="00F87240" w:rsidRPr="00982938">
        <w:t>86</w:t>
      </w:r>
      <w:r w:rsidR="00982938" w:rsidRPr="00982938">
        <w:t>bis</w:t>
      </w:r>
      <w:r w:rsidRPr="00982938">
        <w:tab/>
      </w:r>
      <w:r w:rsidR="00790B99" w:rsidRPr="00982938">
        <w:t>R1</w:t>
      </w:r>
      <w:r w:rsidR="00091557" w:rsidRPr="00982938">
        <w:t>-</w:t>
      </w:r>
      <w:r w:rsidR="00065836" w:rsidRPr="00065836">
        <w:t>1609846</w:t>
      </w:r>
    </w:p>
    <w:p w14:paraId="0D17ABFB" w14:textId="00D22E30" w:rsidR="00E90E49" w:rsidRPr="002672D9" w:rsidRDefault="00982938" w:rsidP="00385DD3">
      <w:pPr>
        <w:pStyle w:val="3GPPHeader"/>
      </w:pPr>
      <w:r w:rsidRPr="002672D9">
        <w:t>Lisbon</w:t>
      </w:r>
      <w:r w:rsidR="00F87240" w:rsidRPr="002672D9">
        <w:t xml:space="preserve">, </w:t>
      </w:r>
      <w:r w:rsidRPr="002672D9">
        <w:t>Portugal</w:t>
      </w:r>
      <w:r w:rsidR="00F87240" w:rsidRPr="002672D9">
        <w:t xml:space="preserve">, </w:t>
      </w:r>
      <w:r w:rsidRPr="002672D9">
        <w:t>October 10-14</w:t>
      </w:r>
      <w:r w:rsidR="00790B99" w:rsidRPr="002672D9">
        <w:t>,</w:t>
      </w:r>
      <w:r w:rsidR="0027144F" w:rsidRPr="002672D9">
        <w:t xml:space="preserve"> 20</w:t>
      </w:r>
      <w:r w:rsidR="00385DD3" w:rsidRPr="002672D9">
        <w:t>1</w:t>
      </w:r>
      <w:r w:rsidR="00F87240" w:rsidRPr="002672D9">
        <w:t>6</w:t>
      </w:r>
    </w:p>
    <w:p w14:paraId="602D817E" w14:textId="77777777" w:rsidR="00E90E49" w:rsidRPr="002672D9" w:rsidRDefault="00E90E49" w:rsidP="00385DD3">
      <w:pPr>
        <w:pStyle w:val="3GPPHeader"/>
      </w:pPr>
    </w:p>
    <w:p w14:paraId="4CCD9949" w14:textId="77777777" w:rsidR="00E90E49" w:rsidRPr="002672D9" w:rsidRDefault="003D3C45" w:rsidP="00385DD3">
      <w:pPr>
        <w:pStyle w:val="3GPPHeader"/>
      </w:pPr>
      <w:r w:rsidRPr="002672D9">
        <w:t>Source:</w:t>
      </w:r>
      <w:r w:rsidR="00E90E49" w:rsidRPr="002672D9">
        <w:tab/>
      </w:r>
      <w:r w:rsidR="00F64C2B" w:rsidRPr="002672D9">
        <w:t>Ericsson</w:t>
      </w:r>
    </w:p>
    <w:p w14:paraId="067E6F8C" w14:textId="317F3843" w:rsidR="00E90E49" w:rsidRPr="002672D9" w:rsidRDefault="003D3C45" w:rsidP="00385DD3">
      <w:pPr>
        <w:pStyle w:val="3GPPHeader"/>
      </w:pPr>
      <w:r w:rsidRPr="002672D9">
        <w:t>Title:</w:t>
      </w:r>
      <w:r w:rsidR="00E90E49" w:rsidRPr="002672D9">
        <w:tab/>
      </w:r>
      <w:r w:rsidR="00517084" w:rsidRPr="002672D9">
        <w:t>On Rate Matching for Beamformed CSI-RS</w:t>
      </w:r>
    </w:p>
    <w:p w14:paraId="3B8A0229" w14:textId="79EE5986" w:rsidR="00952A24" w:rsidRPr="002672D9" w:rsidRDefault="00952A24" w:rsidP="00385DD3">
      <w:pPr>
        <w:pStyle w:val="3GPPHeader"/>
      </w:pPr>
      <w:r w:rsidRPr="002672D9">
        <w:t>Agenda Item:</w:t>
      </w:r>
      <w:r w:rsidRPr="002672D9">
        <w:tab/>
      </w:r>
      <w:r w:rsidR="00982938" w:rsidRPr="002672D9">
        <w:t>7.2.2.5.1</w:t>
      </w:r>
    </w:p>
    <w:p w14:paraId="3881B07E" w14:textId="77777777" w:rsidR="00E90E49" w:rsidRPr="002672D9" w:rsidRDefault="00E90E49" w:rsidP="00385DD3">
      <w:pPr>
        <w:pStyle w:val="3GPPHeader"/>
      </w:pPr>
      <w:r w:rsidRPr="002672D9">
        <w:t>Document for:</w:t>
      </w:r>
      <w:r w:rsidRPr="002672D9">
        <w:tab/>
      </w:r>
      <w:r w:rsidR="004468FA" w:rsidRPr="002672D9">
        <w:t>Discussion and</w:t>
      </w:r>
      <w:r w:rsidR="00952A24" w:rsidRPr="002672D9">
        <w:t xml:space="preserve"> </w:t>
      </w:r>
      <w:r w:rsidRPr="002672D9">
        <w:t>Decision</w:t>
      </w:r>
    </w:p>
    <w:p w14:paraId="625CA431" w14:textId="77777777" w:rsidR="00E90E49" w:rsidRPr="003F2585" w:rsidRDefault="00E90E49" w:rsidP="00CE0424">
      <w:pPr>
        <w:pStyle w:val="Heading1"/>
      </w:pPr>
      <w:r w:rsidRPr="003F2585">
        <w:t>Introduction</w:t>
      </w:r>
    </w:p>
    <w:p w14:paraId="6DE3C0D3" w14:textId="420E3609" w:rsidR="00982938" w:rsidRPr="002672D9" w:rsidRDefault="00122EC5" w:rsidP="00CE0424">
      <w:pPr>
        <w:pStyle w:val="BodyText"/>
      </w:pPr>
      <w:r w:rsidRPr="002672D9">
        <w:t>In RAN1#8</w:t>
      </w:r>
      <w:r w:rsidR="00982938" w:rsidRPr="002672D9">
        <w:t>6</w:t>
      </w:r>
      <w:r w:rsidRPr="002672D9">
        <w:t xml:space="preserve">, the following agreements were made with regards to </w:t>
      </w:r>
      <w:r w:rsidR="00636792" w:rsidRPr="002672D9">
        <w:t>rate matching for beamformed CSI-RS.</w:t>
      </w:r>
      <w:r w:rsidR="00982938" w:rsidRPr="002672D9">
        <w:t xml:space="preserve">   </w:t>
      </w:r>
    </w:p>
    <w:p w14:paraId="0FD07CB3" w14:textId="77777777" w:rsidR="00FF52A8" w:rsidRPr="00FF52A8" w:rsidRDefault="00FF52A8" w:rsidP="00FF52A8">
      <w:pPr>
        <w:rPr>
          <w:rFonts w:eastAsia="MS Mincho"/>
          <w:iCs/>
          <w:sz w:val="18"/>
          <w:lang w:eastAsia="ja-JP"/>
        </w:rPr>
      </w:pPr>
      <w:r w:rsidRPr="00FF52A8">
        <w:rPr>
          <w:rFonts w:eastAsia="MS Mincho"/>
          <w:b/>
          <w:iCs/>
          <w:sz w:val="18"/>
          <w:highlight w:val="green"/>
          <w:u w:val="single"/>
          <w:lang w:eastAsia="ja-JP"/>
        </w:rPr>
        <w:t>Agreement</w:t>
      </w:r>
      <w:r w:rsidRPr="00FF52A8">
        <w:rPr>
          <w:rFonts w:eastAsia="MS Mincho"/>
          <w:iCs/>
          <w:sz w:val="18"/>
          <w:lang w:eastAsia="ja-JP"/>
        </w:rPr>
        <w:t>:</w:t>
      </w:r>
    </w:p>
    <w:p w14:paraId="01D044E1" w14:textId="77777777" w:rsidR="00636792" w:rsidRPr="002672D9" w:rsidRDefault="00636792" w:rsidP="00636792">
      <w:pPr>
        <w:numPr>
          <w:ilvl w:val="0"/>
          <w:numId w:val="34"/>
        </w:numPr>
        <w:spacing w:after="0" w:line="240" w:lineRule="auto"/>
        <w:rPr>
          <w:rFonts w:eastAsia="MS Mincho"/>
          <w:iCs/>
          <w:lang w:eastAsia="ja-JP"/>
        </w:rPr>
      </w:pPr>
      <w:r w:rsidRPr="002672D9">
        <w:rPr>
          <w:rFonts w:eastAsia="MS Mincho"/>
          <w:iCs/>
          <w:lang w:eastAsia="ja-JP"/>
        </w:rPr>
        <w:t>A solution is to be selected from the following three alternatives for aperiodic ZP CSIRS resource indication (TBD RAN1#86bis)</w:t>
      </w:r>
    </w:p>
    <w:p w14:paraId="2DEF0E5B" w14:textId="77777777" w:rsidR="00636792" w:rsidRPr="002672D9" w:rsidRDefault="00636792" w:rsidP="00636792">
      <w:pPr>
        <w:numPr>
          <w:ilvl w:val="1"/>
          <w:numId w:val="34"/>
        </w:numPr>
        <w:spacing w:after="0" w:line="240" w:lineRule="auto"/>
        <w:rPr>
          <w:rFonts w:eastAsia="MS Mincho"/>
          <w:iCs/>
          <w:lang w:eastAsia="ja-JP"/>
        </w:rPr>
      </w:pPr>
      <w:r w:rsidRPr="002672D9">
        <w:rPr>
          <w:rFonts w:eastAsia="MS Mincho"/>
          <w:iCs/>
          <w:lang w:eastAsia="ja-JP"/>
        </w:rPr>
        <w:t>Alternative-1: Aperiodic ZP CSIRS, dynamically indicated by a new common DCI.</w:t>
      </w:r>
    </w:p>
    <w:p w14:paraId="47068FC1" w14:textId="77777777" w:rsidR="00636792" w:rsidRPr="002672D9" w:rsidRDefault="00636792" w:rsidP="00636792">
      <w:pPr>
        <w:numPr>
          <w:ilvl w:val="2"/>
          <w:numId w:val="34"/>
        </w:numPr>
        <w:spacing w:after="0" w:line="240" w:lineRule="auto"/>
        <w:rPr>
          <w:rFonts w:eastAsia="MS Mincho"/>
          <w:iCs/>
          <w:lang w:eastAsia="ja-JP"/>
        </w:rPr>
      </w:pPr>
      <w:r w:rsidRPr="002672D9">
        <w:rPr>
          <w:rFonts w:eastAsia="MS Mincho"/>
          <w:iCs/>
          <w:lang w:eastAsia="ja-JP"/>
        </w:rPr>
        <w:t>The common DCI is monitored in common search space.</w:t>
      </w:r>
    </w:p>
    <w:p w14:paraId="61C5AFA9" w14:textId="7FACE84A" w:rsidR="00636792" w:rsidRPr="002672D9" w:rsidRDefault="00636792" w:rsidP="00636792">
      <w:pPr>
        <w:numPr>
          <w:ilvl w:val="1"/>
          <w:numId w:val="34"/>
        </w:numPr>
        <w:spacing w:after="0" w:line="240" w:lineRule="auto"/>
        <w:rPr>
          <w:rFonts w:eastAsia="MS Mincho"/>
          <w:iCs/>
          <w:lang w:eastAsia="ja-JP"/>
        </w:rPr>
      </w:pPr>
      <w:r w:rsidRPr="002672D9">
        <w:rPr>
          <w:rFonts w:eastAsia="MS Mincho"/>
          <w:iCs/>
          <w:lang w:eastAsia="ja-JP"/>
        </w:rPr>
        <w:t xml:space="preserve">Alternative-2: Aperiodic ZP CSIRS, aperiodic ZP CSI-RS resource signaling field is introduced in </w:t>
      </w:r>
      <w:r w:rsidR="00DA15B0">
        <w:rPr>
          <w:rFonts w:eastAsia="MS Mincho"/>
          <w:iCs/>
          <w:lang w:eastAsia="ja-JP"/>
        </w:rPr>
        <w:t>DCI</w:t>
      </w:r>
      <w:r w:rsidRPr="002672D9">
        <w:rPr>
          <w:rFonts w:eastAsia="MS Mincho"/>
          <w:iCs/>
          <w:lang w:eastAsia="ja-JP"/>
        </w:rPr>
        <w:t>s for all TMs.</w:t>
      </w:r>
    </w:p>
    <w:p w14:paraId="77F0CA59" w14:textId="77777777" w:rsidR="00636792" w:rsidRPr="002672D9" w:rsidRDefault="00636792" w:rsidP="00636792">
      <w:pPr>
        <w:numPr>
          <w:ilvl w:val="1"/>
          <w:numId w:val="34"/>
        </w:numPr>
        <w:spacing w:after="0" w:line="240" w:lineRule="auto"/>
        <w:rPr>
          <w:rFonts w:eastAsia="MS Mincho"/>
          <w:iCs/>
          <w:lang w:eastAsia="ja-JP"/>
        </w:rPr>
      </w:pPr>
      <w:r w:rsidRPr="002672D9">
        <w:rPr>
          <w:rFonts w:eastAsia="MS Mincho"/>
          <w:iCs/>
          <w:lang w:eastAsia="ja-JP"/>
        </w:rPr>
        <w:t>Alternative-3: Use the existing PQI states or increase the number of PQI states for TM10; no PDSCH RM solution for other TMs</w:t>
      </w:r>
    </w:p>
    <w:p w14:paraId="6B8F9E02" w14:textId="77777777" w:rsidR="00636792" w:rsidRPr="002672D9" w:rsidRDefault="00636792" w:rsidP="00636792">
      <w:pPr>
        <w:numPr>
          <w:ilvl w:val="2"/>
          <w:numId w:val="34"/>
        </w:numPr>
        <w:spacing w:after="0" w:line="240" w:lineRule="auto"/>
        <w:rPr>
          <w:rFonts w:eastAsia="MS Mincho"/>
          <w:iCs/>
          <w:lang w:eastAsia="ja-JP"/>
        </w:rPr>
      </w:pPr>
      <w:r w:rsidRPr="002672D9">
        <w:rPr>
          <w:rFonts w:eastAsia="MS Mincho"/>
          <w:iCs/>
          <w:lang w:eastAsia="ja-JP"/>
        </w:rPr>
        <w:t>In this case, aperiodic ZP CSIRS resource is not defined</w:t>
      </w:r>
    </w:p>
    <w:p w14:paraId="7FAD9F4B" w14:textId="77777777" w:rsidR="00636792" w:rsidRPr="002672D9" w:rsidRDefault="00636792" w:rsidP="00636792">
      <w:pPr>
        <w:numPr>
          <w:ilvl w:val="0"/>
          <w:numId w:val="34"/>
        </w:numPr>
        <w:spacing w:after="0" w:line="240" w:lineRule="auto"/>
        <w:rPr>
          <w:rFonts w:eastAsia="MS Mincho"/>
          <w:iCs/>
          <w:lang w:eastAsia="ja-JP"/>
        </w:rPr>
      </w:pPr>
      <w:r w:rsidRPr="002672D9">
        <w:rPr>
          <w:rFonts w:eastAsia="MS Mincho"/>
          <w:iCs/>
          <w:lang w:eastAsia="ja-JP"/>
        </w:rPr>
        <w:t>Definition of Aperiodic ZP CSIRS:</w:t>
      </w:r>
    </w:p>
    <w:p w14:paraId="42C50817" w14:textId="77777777" w:rsidR="00636792" w:rsidRPr="002672D9" w:rsidRDefault="00636792" w:rsidP="00636792">
      <w:pPr>
        <w:numPr>
          <w:ilvl w:val="1"/>
          <w:numId w:val="34"/>
        </w:numPr>
        <w:spacing w:after="0" w:line="240" w:lineRule="auto"/>
        <w:rPr>
          <w:rFonts w:eastAsia="MS Mincho"/>
          <w:iCs/>
          <w:lang w:eastAsia="ja-JP"/>
        </w:rPr>
      </w:pPr>
      <w:r w:rsidRPr="002672D9">
        <w:rPr>
          <w:rFonts w:eastAsia="MS Mincho"/>
          <w:iCs/>
          <w:lang w:eastAsia="ja-JP"/>
        </w:rPr>
        <w:t xml:space="preserve">For PDSCH rate matching on BF CSIRS due to aperiodic CSI-RS and/or multi-shot CSI-RS, an aperiodic ZP CSIRS resource is indicated. </w:t>
      </w:r>
    </w:p>
    <w:p w14:paraId="1BD44056" w14:textId="77777777" w:rsidR="00636792" w:rsidRPr="002672D9" w:rsidRDefault="00636792" w:rsidP="00636792">
      <w:pPr>
        <w:numPr>
          <w:ilvl w:val="2"/>
          <w:numId w:val="34"/>
        </w:numPr>
        <w:spacing w:after="0" w:line="240" w:lineRule="auto"/>
        <w:rPr>
          <w:rFonts w:eastAsia="MS Mincho"/>
          <w:iCs/>
          <w:lang w:eastAsia="ja-JP"/>
        </w:rPr>
      </w:pPr>
      <w:r w:rsidRPr="002672D9">
        <w:rPr>
          <w:rFonts w:eastAsia="MS Mincho"/>
          <w:iCs/>
          <w:lang w:eastAsia="ja-JP"/>
        </w:rPr>
        <w:t>Aperiodic ZP CSIRS resource configuration is defined without Subframe_config</w:t>
      </w:r>
    </w:p>
    <w:p w14:paraId="38B4DEE3" w14:textId="77777777" w:rsidR="00636792" w:rsidRPr="002672D9" w:rsidRDefault="00636792" w:rsidP="00636792">
      <w:pPr>
        <w:numPr>
          <w:ilvl w:val="2"/>
          <w:numId w:val="34"/>
        </w:numPr>
        <w:spacing w:after="0" w:line="240" w:lineRule="auto"/>
        <w:rPr>
          <w:rFonts w:eastAsia="MS Mincho"/>
          <w:iCs/>
          <w:lang w:eastAsia="ja-JP"/>
        </w:rPr>
      </w:pPr>
      <w:r w:rsidRPr="002672D9">
        <w:rPr>
          <w:rFonts w:eastAsia="MS Mincho"/>
          <w:iCs/>
          <w:lang w:eastAsia="ja-JP"/>
        </w:rPr>
        <w:t>UE conducts PDSCH rate matching on aperiodic ZP CSIRS at the subframe when the DCI is signaled.</w:t>
      </w:r>
    </w:p>
    <w:p w14:paraId="0DD7746C" w14:textId="77777777" w:rsidR="00636792" w:rsidRPr="002672D9" w:rsidRDefault="00636792" w:rsidP="00636792">
      <w:pPr>
        <w:numPr>
          <w:ilvl w:val="0"/>
          <w:numId w:val="34"/>
        </w:numPr>
        <w:spacing w:after="0" w:line="240" w:lineRule="auto"/>
        <w:rPr>
          <w:rFonts w:eastAsia="MS Mincho"/>
          <w:iCs/>
          <w:lang w:eastAsia="ja-JP"/>
        </w:rPr>
      </w:pPr>
      <w:r w:rsidRPr="002672D9">
        <w:rPr>
          <w:rFonts w:eastAsia="MS Mincho"/>
          <w:iCs/>
          <w:lang w:eastAsia="ja-JP"/>
        </w:rPr>
        <w:t xml:space="preserve">Study the impact of collision between EPDCCH RE and aperiodic CSI-RS </w:t>
      </w:r>
    </w:p>
    <w:p w14:paraId="076147F1" w14:textId="23DA595B" w:rsidR="00DB7A7D" w:rsidRPr="002672D9" w:rsidRDefault="00DB7A7D" w:rsidP="00636792">
      <w:pPr>
        <w:spacing w:after="0" w:line="240" w:lineRule="auto"/>
        <w:rPr>
          <w:rFonts w:eastAsia="MS Mincho"/>
          <w:iCs/>
          <w:sz w:val="18"/>
          <w:lang w:eastAsia="ja-JP"/>
        </w:rPr>
      </w:pPr>
      <w:r w:rsidRPr="002672D9">
        <w:rPr>
          <w:rFonts w:eastAsia="MS Mincho"/>
          <w:iCs/>
          <w:sz w:val="18"/>
          <w:lang w:eastAsia="ja-JP"/>
        </w:rPr>
        <w:t xml:space="preserve"> </w:t>
      </w:r>
    </w:p>
    <w:p w14:paraId="6B001F27" w14:textId="77777777" w:rsidR="006E753C" w:rsidRPr="002672D9" w:rsidRDefault="006E753C" w:rsidP="006E753C">
      <w:pPr>
        <w:spacing w:after="0"/>
        <w:rPr>
          <w:rFonts w:eastAsia="MS Mincho"/>
          <w:sz w:val="18"/>
          <w:lang w:eastAsia="ja-JP"/>
        </w:rPr>
      </w:pPr>
    </w:p>
    <w:p w14:paraId="512336C4" w14:textId="2C86A072" w:rsidR="00E42E99" w:rsidRPr="002672D9" w:rsidRDefault="00A24E2D" w:rsidP="00CE0424">
      <w:pPr>
        <w:pStyle w:val="BodyText"/>
      </w:pPr>
      <w:r w:rsidRPr="002672D9">
        <w:t>In this contribution, we present our views</w:t>
      </w:r>
      <w:r w:rsidR="003D6906" w:rsidRPr="002672D9">
        <w:t xml:space="preserve"> on the </w:t>
      </w:r>
      <w:r w:rsidR="00636792" w:rsidRPr="002672D9">
        <w:t>above three alternatives</w:t>
      </w:r>
      <w:r w:rsidR="0022588C" w:rsidRPr="002672D9">
        <w:t xml:space="preserve"> related to </w:t>
      </w:r>
      <w:r w:rsidR="00636792" w:rsidRPr="002672D9">
        <w:t>PDSCH rate matching and the issue of collision between EPDCCH RE and aperiodic CSI-RS.</w:t>
      </w:r>
    </w:p>
    <w:p w14:paraId="72F15774" w14:textId="53FC6E2B" w:rsidR="004000E8" w:rsidRDefault="00E42E99" w:rsidP="00CE0424">
      <w:pPr>
        <w:pStyle w:val="Heading1"/>
      </w:pPr>
      <w:r>
        <w:t>PDSCH Rate Matching</w:t>
      </w:r>
    </w:p>
    <w:p w14:paraId="43A9F185" w14:textId="77777777" w:rsidR="00867C02" w:rsidRDefault="00867C02" w:rsidP="00307D44">
      <w:pPr>
        <w:rPr>
          <w:lang w:val="en-GB" w:eastAsia="zh-CN"/>
        </w:rPr>
      </w:pPr>
      <w:r>
        <w:rPr>
          <w:lang w:val="en-GB" w:eastAsia="zh-CN"/>
        </w:rPr>
        <w:t>In RAN1#86, the first step of the aperiodic CSI-RS is agreed as follows:</w:t>
      </w:r>
    </w:p>
    <w:p w14:paraId="5A75E71D" w14:textId="77777777" w:rsidR="00867C02" w:rsidRDefault="00867C02" w:rsidP="00867C02">
      <w:pPr>
        <w:ind w:left="360"/>
        <w:rPr>
          <w:rFonts w:eastAsia="MS Mincho"/>
          <w:iCs/>
          <w:lang w:eastAsia="ja-JP"/>
        </w:rPr>
      </w:pPr>
      <w:r>
        <w:rPr>
          <w:rFonts w:eastAsia="MS Mincho"/>
          <w:iCs/>
          <w:lang w:eastAsia="ja-JP"/>
        </w:rPr>
        <w:t>Aperiodic CSI-RS</w:t>
      </w:r>
    </w:p>
    <w:p w14:paraId="783020E5" w14:textId="77777777" w:rsidR="00867C02" w:rsidRPr="002672D9" w:rsidRDefault="00867C02" w:rsidP="00867C02">
      <w:pPr>
        <w:numPr>
          <w:ilvl w:val="0"/>
          <w:numId w:val="28"/>
        </w:numPr>
        <w:tabs>
          <w:tab w:val="clear" w:pos="720"/>
          <w:tab w:val="num" w:pos="1080"/>
        </w:tabs>
        <w:spacing w:after="0" w:line="240" w:lineRule="auto"/>
        <w:ind w:left="1080"/>
        <w:rPr>
          <w:rFonts w:eastAsia="MS Mincho"/>
          <w:iCs/>
          <w:lang w:eastAsia="ja-JP"/>
        </w:rPr>
      </w:pPr>
      <w:r w:rsidRPr="002672D9">
        <w:rPr>
          <w:rFonts w:eastAsia="MS Mincho"/>
          <w:iCs/>
          <w:lang w:eastAsia="ja-JP"/>
        </w:rPr>
        <w:t>Two-step NZP CSI-RS resource configuration:</w:t>
      </w:r>
    </w:p>
    <w:p w14:paraId="696AD777" w14:textId="77777777" w:rsidR="00867C02" w:rsidRPr="002672D9" w:rsidRDefault="00867C02" w:rsidP="00867C02">
      <w:pPr>
        <w:numPr>
          <w:ilvl w:val="1"/>
          <w:numId w:val="28"/>
        </w:numPr>
        <w:tabs>
          <w:tab w:val="clear" w:pos="1440"/>
          <w:tab w:val="num" w:pos="1800"/>
        </w:tabs>
        <w:spacing w:after="0" w:line="240" w:lineRule="auto"/>
        <w:ind w:left="1800"/>
        <w:rPr>
          <w:rFonts w:eastAsia="MS Mincho"/>
          <w:iCs/>
          <w:lang w:eastAsia="ja-JP"/>
        </w:rPr>
      </w:pPr>
      <w:r w:rsidRPr="002672D9">
        <w:rPr>
          <w:rFonts w:eastAsia="MS Mincho"/>
          <w:iCs/>
          <w:lang w:eastAsia="ja-JP"/>
        </w:rPr>
        <w:t>Step 1. RRC configuration with a newly defined Aperiodic CSI-RS-Resource-Config IE</w:t>
      </w:r>
    </w:p>
    <w:p w14:paraId="42D8EE2F" w14:textId="719D915B" w:rsidR="00867C02" w:rsidRDefault="00867C02" w:rsidP="00867C02">
      <w:pPr>
        <w:numPr>
          <w:ilvl w:val="2"/>
          <w:numId w:val="28"/>
        </w:numPr>
        <w:tabs>
          <w:tab w:val="clear" w:pos="2160"/>
          <w:tab w:val="num" w:pos="2520"/>
        </w:tabs>
        <w:spacing w:after="0" w:line="240" w:lineRule="auto"/>
        <w:ind w:left="2520"/>
        <w:rPr>
          <w:rFonts w:eastAsia="MS Mincho"/>
          <w:iCs/>
          <w:lang w:eastAsia="ja-JP"/>
        </w:rPr>
      </w:pPr>
      <w:r w:rsidRPr="0027092F">
        <w:rPr>
          <w:rFonts w:eastAsia="MS Mincho"/>
          <w:iCs/>
          <w:lang w:eastAsia="ja-JP"/>
        </w:rPr>
        <w:t>Without Subframe_config</w:t>
      </w:r>
    </w:p>
    <w:p w14:paraId="44DE3357" w14:textId="51E19288" w:rsidR="00867C02" w:rsidRPr="002672D9" w:rsidRDefault="00867C02" w:rsidP="00867C02">
      <w:pPr>
        <w:numPr>
          <w:ilvl w:val="2"/>
          <w:numId w:val="28"/>
        </w:numPr>
        <w:tabs>
          <w:tab w:val="clear" w:pos="2160"/>
          <w:tab w:val="num" w:pos="2520"/>
        </w:tabs>
        <w:spacing w:after="0" w:line="240" w:lineRule="auto"/>
        <w:ind w:left="2520"/>
        <w:rPr>
          <w:rFonts w:eastAsia="MS Mincho"/>
          <w:iCs/>
          <w:lang w:eastAsia="ja-JP"/>
        </w:rPr>
      </w:pPr>
      <w:r w:rsidRPr="002672D9">
        <w:rPr>
          <w:rFonts w:eastAsia="MS Mincho"/>
          <w:iCs/>
          <w:lang w:eastAsia="ja-JP"/>
        </w:rPr>
        <w:t xml:space="preserve">Configure a UE with </w:t>
      </w:r>
      <w:r w:rsidRPr="002672D9">
        <w:rPr>
          <w:rFonts w:eastAsia="MS Mincho"/>
          <w:b/>
          <w:bCs/>
          <w:i/>
          <w:iCs/>
          <w:lang w:eastAsia="ja-JP"/>
        </w:rPr>
        <w:t>K</w:t>
      </w:r>
      <w:r w:rsidRPr="002672D9">
        <w:rPr>
          <w:rFonts w:eastAsia="MS Mincho"/>
          <w:iCs/>
          <w:lang w:eastAsia="ja-JP"/>
        </w:rPr>
        <w:t xml:space="preserve"> = {1, 2, .., 8} CSI-RS resources</w:t>
      </w:r>
    </w:p>
    <w:p w14:paraId="77B71124" w14:textId="72BCE3C7" w:rsidR="00307D44" w:rsidRDefault="00307D44" w:rsidP="00867C02">
      <w:pPr>
        <w:rPr>
          <w:lang w:val="en-GB" w:eastAsia="zh-CN"/>
        </w:rPr>
      </w:pPr>
    </w:p>
    <w:p w14:paraId="3CA2AB26" w14:textId="2F93AD28" w:rsidR="00867C02" w:rsidRDefault="00867C02" w:rsidP="00307D44">
      <w:pPr>
        <w:rPr>
          <w:lang w:val="en-GB" w:eastAsia="zh-CN"/>
        </w:rPr>
      </w:pPr>
      <w:r>
        <w:rPr>
          <w:lang w:val="en-GB" w:eastAsia="zh-CN"/>
        </w:rPr>
        <w:lastRenderedPageBreak/>
        <w:t xml:space="preserve">In order to improve </w:t>
      </w:r>
      <w:r w:rsidR="002672D9">
        <w:rPr>
          <w:lang w:val="en-GB" w:eastAsia="zh-CN"/>
        </w:rPr>
        <w:t>aperiodic</w:t>
      </w:r>
      <w:r>
        <w:rPr>
          <w:lang w:val="en-GB" w:eastAsia="zh-CN"/>
        </w:rPr>
        <w:t xml:space="preserve"> CSI-RS resource efficiency while at the same time reducing </w:t>
      </w:r>
      <w:r w:rsidRPr="002672D9">
        <w:t xml:space="preserve">average CSI triggering delay (see </w:t>
      </w:r>
      <w:r>
        <w:fldChar w:fldCharType="begin"/>
      </w:r>
      <w:r w:rsidRPr="002672D9">
        <w:instrText xml:space="preserve"> REF _Ref458411304 \r \h </w:instrText>
      </w:r>
      <w:r>
        <w:fldChar w:fldCharType="separate"/>
      </w:r>
      <w:r w:rsidR="00BB029E">
        <w:t>[1]</w:t>
      </w:r>
      <w:r>
        <w:fldChar w:fldCharType="end"/>
      </w:r>
      <w:r w:rsidRPr="002672D9">
        <w:t xml:space="preserve"> for details</w:t>
      </w:r>
      <w:r w:rsidR="00940CE9" w:rsidRPr="002672D9">
        <w:t>), the</w:t>
      </w:r>
      <w:r>
        <w:rPr>
          <w:lang w:val="en-GB" w:eastAsia="zh-CN"/>
        </w:rPr>
        <w:t xml:space="preserve"> </w:t>
      </w:r>
      <w:r>
        <w:rPr>
          <w:b/>
          <w:i/>
          <w:lang w:val="en-GB" w:eastAsia="zh-CN"/>
        </w:rPr>
        <w:t>K</w:t>
      </w:r>
      <w:r>
        <w:rPr>
          <w:lang w:val="en-GB" w:eastAsia="zh-CN"/>
        </w:rPr>
        <w:t xml:space="preserve"> CSI-RS resources without ‘Subframe_config’ need to be dynamically shared</w:t>
      </w:r>
      <w:r w:rsidR="00940CE9">
        <w:rPr>
          <w:lang w:val="en-GB" w:eastAsia="zh-CN"/>
        </w:rPr>
        <w:t xml:space="preserve"> among multiple UEs.</w:t>
      </w:r>
      <w:r>
        <w:rPr>
          <w:lang w:val="en-GB" w:eastAsia="zh-CN"/>
        </w:rPr>
        <w:t xml:space="preserve"> </w:t>
      </w:r>
    </w:p>
    <w:p w14:paraId="023AC4AB" w14:textId="41A04EB2" w:rsidR="007F3FDD" w:rsidRDefault="007F3FDD" w:rsidP="00307D44">
      <w:pPr>
        <w:rPr>
          <w:lang w:val="en-GB" w:eastAsia="zh-CN"/>
        </w:rPr>
      </w:pPr>
      <w:r>
        <w:rPr>
          <w:lang w:val="en-GB" w:eastAsia="zh-CN"/>
        </w:rPr>
        <w:t xml:space="preserve">Let us now assume that </w:t>
      </w:r>
      <w:r>
        <w:rPr>
          <w:b/>
          <w:i/>
          <w:lang w:val="en-GB" w:eastAsia="zh-CN"/>
        </w:rPr>
        <w:t>K’</w:t>
      </w:r>
      <w:r>
        <w:rPr>
          <w:lang w:val="en-GB" w:eastAsia="zh-CN"/>
        </w:rPr>
        <w:t xml:space="preserve"> out of the </w:t>
      </w:r>
      <w:r>
        <w:rPr>
          <w:b/>
          <w:i/>
          <w:lang w:val="en-GB" w:eastAsia="zh-CN"/>
        </w:rPr>
        <w:t>K</w:t>
      </w:r>
      <w:r>
        <w:rPr>
          <w:lang w:val="en-GB" w:eastAsia="zh-CN"/>
        </w:rPr>
        <w:t xml:space="preserve"> aperiodic CSI-RS resources are used to trigger aperiodic CSI-RS transmission to </w:t>
      </w:r>
      <w:r>
        <w:rPr>
          <w:b/>
          <w:i/>
          <w:lang w:val="en-GB" w:eastAsia="zh-CN"/>
        </w:rPr>
        <w:t>K’</w:t>
      </w:r>
      <w:r>
        <w:rPr>
          <w:lang w:val="en-GB" w:eastAsia="zh-CN"/>
        </w:rPr>
        <w:t xml:space="preserve"> UEs in a cell in a given subframe </w:t>
      </w:r>
      <w:r w:rsidRPr="007F3FDD">
        <w:rPr>
          <w:i/>
          <w:lang w:val="en-GB" w:eastAsia="zh-CN"/>
        </w:rPr>
        <w:t>n</w:t>
      </w:r>
      <w:r>
        <w:rPr>
          <w:lang w:val="en-GB" w:eastAsia="zh-CN"/>
        </w:rPr>
        <w:t xml:space="preserve">.  Then, for those UEs receiving data transmission and not receiving aperiodic CSI-RS in subframe </w:t>
      </w:r>
      <w:r w:rsidRPr="007F3FDD">
        <w:rPr>
          <w:i/>
          <w:lang w:val="en-GB" w:eastAsia="zh-CN"/>
        </w:rPr>
        <w:t>n</w:t>
      </w:r>
      <w:r>
        <w:rPr>
          <w:lang w:val="en-GB" w:eastAsia="zh-CN"/>
        </w:rPr>
        <w:t xml:space="preserve">, one of the approaches for PDSCH rate matching is to dynamically indicate the set of </w:t>
      </w:r>
      <w:r>
        <w:rPr>
          <w:b/>
          <w:i/>
          <w:lang w:val="en-GB" w:eastAsia="zh-CN"/>
        </w:rPr>
        <w:t>K’</w:t>
      </w:r>
      <w:r>
        <w:rPr>
          <w:b/>
          <w:lang w:val="en-GB" w:eastAsia="zh-CN"/>
        </w:rPr>
        <w:t xml:space="preserve"> </w:t>
      </w:r>
      <w:r>
        <w:rPr>
          <w:lang w:val="en-GB" w:eastAsia="zh-CN"/>
        </w:rPr>
        <w:t xml:space="preserve">aperiodic CSI-RS resources being used in subframe </w:t>
      </w:r>
      <w:r w:rsidRPr="007F3FDD">
        <w:rPr>
          <w:i/>
          <w:lang w:val="en-GB" w:eastAsia="zh-CN"/>
        </w:rPr>
        <w:t>n</w:t>
      </w:r>
      <w:r>
        <w:rPr>
          <w:lang w:val="en-GB" w:eastAsia="zh-CN"/>
        </w:rPr>
        <w:t xml:space="preserve">.  Then, these UEs can rate match PDSCH around the </w:t>
      </w:r>
      <w:r>
        <w:rPr>
          <w:b/>
          <w:i/>
          <w:lang w:val="en-GB" w:eastAsia="zh-CN"/>
        </w:rPr>
        <w:t>K’</w:t>
      </w:r>
      <w:r>
        <w:rPr>
          <w:b/>
          <w:lang w:val="en-GB" w:eastAsia="zh-CN"/>
        </w:rPr>
        <w:t xml:space="preserve"> </w:t>
      </w:r>
      <w:r>
        <w:rPr>
          <w:lang w:val="en-GB" w:eastAsia="zh-CN"/>
        </w:rPr>
        <w:t xml:space="preserve">aperiodic CSI-RS resources being used in subframe </w:t>
      </w:r>
      <w:r w:rsidRPr="007F3FDD">
        <w:rPr>
          <w:i/>
          <w:lang w:val="en-GB" w:eastAsia="zh-CN"/>
        </w:rPr>
        <w:t>n</w:t>
      </w:r>
      <w:r>
        <w:rPr>
          <w:lang w:val="en-GB" w:eastAsia="zh-CN"/>
        </w:rPr>
        <w:t>.</w:t>
      </w:r>
      <w:r w:rsidR="00D2446D">
        <w:rPr>
          <w:lang w:val="en-GB" w:eastAsia="zh-CN"/>
        </w:rPr>
        <w:t xml:space="preserve">  One of the disadvantages of this approach is that the number of </w:t>
      </w:r>
      <w:r w:rsidR="00D2446D">
        <w:rPr>
          <w:b/>
          <w:i/>
          <w:lang w:val="en-GB" w:eastAsia="zh-CN"/>
        </w:rPr>
        <w:t>K’</w:t>
      </w:r>
      <w:r w:rsidR="00D2446D">
        <w:rPr>
          <w:lang w:val="en-GB" w:eastAsia="zh-CN"/>
        </w:rPr>
        <w:t xml:space="preserve"> aperiodic CSI-RS combinations out of the </w:t>
      </w:r>
      <w:r w:rsidR="00D2446D">
        <w:rPr>
          <w:b/>
          <w:i/>
          <w:lang w:val="en-GB" w:eastAsia="zh-CN"/>
        </w:rPr>
        <w:t>K</w:t>
      </w:r>
      <w:r w:rsidR="00D2446D">
        <w:rPr>
          <w:lang w:val="en-GB" w:eastAsia="zh-CN"/>
        </w:rPr>
        <w:t xml:space="preserve"> resources can be large.</w:t>
      </w:r>
      <w:r w:rsidR="00C54E06">
        <w:rPr>
          <w:lang w:val="en-GB" w:eastAsia="zh-CN"/>
        </w:rPr>
        <w:t xml:space="preserve">  The number of </w:t>
      </w:r>
      <w:r w:rsidR="00C54E06" w:rsidRPr="00C54E06">
        <w:rPr>
          <w:b/>
          <w:i/>
          <w:lang w:val="en-GB" w:eastAsia="zh-CN"/>
        </w:rPr>
        <w:t>K’</w:t>
      </w:r>
      <w:r w:rsidR="00C54E06">
        <w:rPr>
          <w:lang w:val="en-GB" w:eastAsia="zh-CN"/>
        </w:rPr>
        <w:t xml:space="preserve"> aperiodic CSI-RS combinations out of K aperiodic CSI-RS resources for the case of </w:t>
      </w:r>
      <w:r w:rsidR="00C54E06" w:rsidRPr="00C54E06">
        <w:rPr>
          <w:b/>
          <w:i/>
          <w:lang w:val="en-GB" w:eastAsia="zh-CN"/>
        </w:rPr>
        <w:t>K=8</w:t>
      </w:r>
      <w:r w:rsidR="00C54E06">
        <w:rPr>
          <w:lang w:val="en-GB" w:eastAsia="zh-CN"/>
        </w:rPr>
        <w:t xml:space="preserve"> is given in </w:t>
      </w:r>
      <w:r w:rsidR="00C54E06">
        <w:rPr>
          <w:lang w:val="en-GB" w:eastAsia="zh-CN"/>
        </w:rPr>
        <w:fldChar w:fldCharType="begin"/>
      </w:r>
      <w:r w:rsidR="00C54E06">
        <w:rPr>
          <w:lang w:val="en-GB" w:eastAsia="zh-CN"/>
        </w:rPr>
        <w:instrText xml:space="preserve"> REF _Ref462531429 \h </w:instrText>
      </w:r>
      <w:r w:rsidR="00C54E06">
        <w:rPr>
          <w:lang w:val="en-GB" w:eastAsia="zh-CN"/>
        </w:rPr>
      </w:r>
      <w:r w:rsidR="00C54E06">
        <w:rPr>
          <w:lang w:val="en-GB" w:eastAsia="zh-CN"/>
        </w:rPr>
        <w:fldChar w:fldCharType="separate"/>
      </w:r>
      <w:r w:rsidR="00BB029E" w:rsidRPr="002672D9">
        <w:t xml:space="preserve">Table </w:t>
      </w:r>
      <w:r w:rsidR="00BB029E">
        <w:rPr>
          <w:noProof/>
        </w:rPr>
        <w:t>1</w:t>
      </w:r>
      <w:r w:rsidR="00C54E06">
        <w:rPr>
          <w:lang w:val="en-GB" w:eastAsia="zh-CN"/>
        </w:rPr>
        <w:fldChar w:fldCharType="end"/>
      </w:r>
      <w:r w:rsidR="00C54E06">
        <w:rPr>
          <w:lang w:val="en-GB" w:eastAsia="zh-CN"/>
        </w:rPr>
        <w:t>.</w:t>
      </w:r>
    </w:p>
    <w:p w14:paraId="07A13937" w14:textId="77777777" w:rsidR="00C54E06" w:rsidRPr="00D2446D" w:rsidRDefault="00C54E06" w:rsidP="00307D44">
      <w:pPr>
        <w:rPr>
          <w:lang w:val="en-GB" w:eastAsia="zh-CN"/>
        </w:rPr>
      </w:pPr>
    </w:p>
    <w:p w14:paraId="2C0E4ACA" w14:textId="07100EE7" w:rsidR="00867C02" w:rsidRPr="00C54E06" w:rsidRDefault="00C54E06" w:rsidP="00CE0054">
      <w:pPr>
        <w:pStyle w:val="Caption"/>
        <w:spacing w:after="0"/>
        <w:rPr>
          <w:lang w:val="en-GB" w:eastAsia="zh-CN"/>
        </w:rPr>
      </w:pPr>
      <w:bookmarkStart w:id="0" w:name="_Ref462531429"/>
      <w:r w:rsidRPr="002672D9">
        <w:t xml:space="preserve">Table </w:t>
      </w:r>
      <w:r>
        <w:fldChar w:fldCharType="begin"/>
      </w:r>
      <w:r w:rsidRPr="002672D9">
        <w:instrText xml:space="preserve"> SEQ Table \* ARABIC </w:instrText>
      </w:r>
      <w:r>
        <w:fldChar w:fldCharType="separate"/>
      </w:r>
      <w:r w:rsidR="00BB029E">
        <w:rPr>
          <w:noProof/>
        </w:rPr>
        <w:t>1</w:t>
      </w:r>
      <w:r>
        <w:fldChar w:fldCharType="end"/>
      </w:r>
      <w:bookmarkEnd w:id="0"/>
      <w:r w:rsidRPr="002672D9">
        <w:t xml:space="preserve">.  Number of </w:t>
      </w:r>
      <w:r w:rsidRPr="002672D9">
        <w:rPr>
          <w:i/>
        </w:rPr>
        <w:t>K’</w:t>
      </w:r>
      <w:r w:rsidRPr="002672D9">
        <w:t xml:space="preserve"> aperiodic CSI-RS combinations out of </w:t>
      </w:r>
      <w:r w:rsidRPr="002672D9">
        <w:rPr>
          <w:i/>
        </w:rPr>
        <w:t>K=8</w:t>
      </w:r>
      <w:r w:rsidRPr="002672D9">
        <w:t xml:space="preserve"> aperiodic CSI-RS resources</w:t>
      </w:r>
    </w:p>
    <w:tbl>
      <w:tblPr>
        <w:tblStyle w:val="GridTable4"/>
        <w:tblW w:w="0" w:type="auto"/>
        <w:tblInd w:w="1435" w:type="dxa"/>
        <w:tblLook w:val="04A0" w:firstRow="1" w:lastRow="0" w:firstColumn="1" w:lastColumn="0" w:noHBand="0" w:noVBand="1"/>
      </w:tblPr>
      <w:tblGrid>
        <w:gridCol w:w="3510"/>
        <w:gridCol w:w="3510"/>
      </w:tblGrid>
      <w:tr w:rsidR="00C54E06" w:rsidRPr="002672D9" w14:paraId="3D0EC436" w14:textId="77777777" w:rsidTr="005F525A">
        <w:trPr>
          <w:cnfStyle w:val="100000000000" w:firstRow="1" w:lastRow="0" w:firstColumn="0" w:lastColumn="0" w:oddVBand="0" w:evenVBand="0" w:oddHBand="0" w:evenHBand="0" w:firstRowFirstColumn="0" w:firstRowLastColumn="0" w:lastRowFirstColumn="0" w:lastRowLastColumn="0"/>
          <w:trHeight w:val="638"/>
        </w:trPr>
        <w:tc>
          <w:tcPr>
            <w:cnfStyle w:val="001000000000" w:firstRow="0" w:lastRow="0" w:firstColumn="1" w:lastColumn="0" w:oddVBand="0" w:evenVBand="0" w:oddHBand="0" w:evenHBand="0" w:firstRowFirstColumn="0" w:firstRowLastColumn="0" w:lastRowFirstColumn="0" w:lastRowLastColumn="0"/>
            <w:tcW w:w="3510" w:type="dxa"/>
            <w:vAlign w:val="center"/>
          </w:tcPr>
          <w:p w14:paraId="6A347358" w14:textId="2CAE0759" w:rsidR="00C54E06" w:rsidRDefault="00C54E06" w:rsidP="00C54E06">
            <w:pPr>
              <w:jc w:val="center"/>
              <w:rPr>
                <w:lang w:val="en-GB" w:eastAsia="zh-CN"/>
              </w:rPr>
            </w:pPr>
            <w:r>
              <w:rPr>
                <w:lang w:val="en-GB" w:eastAsia="zh-CN"/>
              </w:rPr>
              <w:t xml:space="preserve">Value of </w:t>
            </w:r>
            <w:r>
              <w:rPr>
                <w:b w:val="0"/>
                <w:i/>
                <w:lang w:val="en-GB" w:eastAsia="zh-CN"/>
              </w:rPr>
              <w:t>K’</w:t>
            </w:r>
          </w:p>
        </w:tc>
        <w:tc>
          <w:tcPr>
            <w:tcW w:w="3510" w:type="dxa"/>
            <w:vAlign w:val="center"/>
          </w:tcPr>
          <w:p w14:paraId="7939E4E3" w14:textId="3DC85BBE" w:rsidR="00C54E06" w:rsidRDefault="00C54E06" w:rsidP="00C54E06">
            <w:pPr>
              <w:jc w:val="center"/>
              <w:cnfStyle w:val="100000000000" w:firstRow="1" w:lastRow="0" w:firstColumn="0" w:lastColumn="0" w:oddVBand="0" w:evenVBand="0" w:oddHBand="0" w:evenHBand="0" w:firstRowFirstColumn="0" w:firstRowLastColumn="0" w:lastRowFirstColumn="0" w:lastRowLastColumn="0"/>
              <w:rPr>
                <w:lang w:val="en-GB" w:eastAsia="zh-CN"/>
              </w:rPr>
            </w:pPr>
            <w:r>
              <w:rPr>
                <w:lang w:val="en-GB" w:eastAsia="zh-CN"/>
              </w:rPr>
              <w:t xml:space="preserve">Number of </w:t>
            </w:r>
            <w:r>
              <w:rPr>
                <w:b w:val="0"/>
                <w:i/>
                <w:lang w:val="en-GB" w:eastAsia="zh-CN"/>
              </w:rPr>
              <w:t>K’</w:t>
            </w:r>
            <w:r>
              <w:rPr>
                <w:lang w:val="en-GB" w:eastAsia="zh-CN"/>
              </w:rPr>
              <w:t xml:space="preserve"> aperiodic CSI-RS combinations</w:t>
            </w:r>
            <w:r w:rsidR="005F525A">
              <w:rPr>
                <w:lang w:val="en-GB" w:eastAsia="zh-CN"/>
              </w:rPr>
              <w:t xml:space="preserve"> = </w:t>
            </w:r>
            <m:oMath>
              <m:r>
                <m:rPr>
                  <m:sty m:val="bi"/>
                </m:rPr>
                <w:rPr>
                  <w:rFonts w:ascii="Cambria Math" w:hAnsi="Cambria Math"/>
                  <w:lang w:val="en-GB" w:eastAsia="zh-CN"/>
                </w:rPr>
                <m:t>nchoosek(K,K')</m:t>
              </m:r>
            </m:oMath>
          </w:p>
        </w:tc>
      </w:tr>
      <w:tr w:rsidR="00C54E06" w14:paraId="11D95B85" w14:textId="77777777" w:rsidTr="005F5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vAlign w:val="center"/>
          </w:tcPr>
          <w:p w14:paraId="7A8A2D3F" w14:textId="346BC07E" w:rsidR="00C54E06" w:rsidRDefault="00C54E06" w:rsidP="00C54E06">
            <w:pPr>
              <w:jc w:val="center"/>
              <w:rPr>
                <w:lang w:val="en-GB" w:eastAsia="zh-CN"/>
              </w:rPr>
            </w:pPr>
            <w:r>
              <w:rPr>
                <w:lang w:val="en-GB" w:eastAsia="zh-CN"/>
              </w:rPr>
              <w:t>1</w:t>
            </w:r>
          </w:p>
        </w:tc>
        <w:tc>
          <w:tcPr>
            <w:tcW w:w="3510" w:type="dxa"/>
            <w:vAlign w:val="center"/>
          </w:tcPr>
          <w:p w14:paraId="21F6BDBA" w14:textId="7AF99C1F" w:rsidR="00C54E06" w:rsidRDefault="00C54E06" w:rsidP="00C54E06">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8</w:t>
            </w:r>
          </w:p>
        </w:tc>
      </w:tr>
      <w:tr w:rsidR="00C54E06" w14:paraId="5D6C5CFF" w14:textId="77777777" w:rsidTr="005F525A">
        <w:tc>
          <w:tcPr>
            <w:cnfStyle w:val="001000000000" w:firstRow="0" w:lastRow="0" w:firstColumn="1" w:lastColumn="0" w:oddVBand="0" w:evenVBand="0" w:oddHBand="0" w:evenHBand="0" w:firstRowFirstColumn="0" w:firstRowLastColumn="0" w:lastRowFirstColumn="0" w:lastRowLastColumn="0"/>
            <w:tcW w:w="3510" w:type="dxa"/>
            <w:vAlign w:val="center"/>
          </w:tcPr>
          <w:p w14:paraId="5A98B3B7" w14:textId="2A1C8822" w:rsidR="00C54E06" w:rsidRDefault="00C54E06" w:rsidP="00C54E06">
            <w:pPr>
              <w:jc w:val="center"/>
              <w:rPr>
                <w:lang w:val="en-GB" w:eastAsia="zh-CN"/>
              </w:rPr>
            </w:pPr>
            <w:r>
              <w:rPr>
                <w:lang w:val="en-GB" w:eastAsia="zh-CN"/>
              </w:rPr>
              <w:t>2</w:t>
            </w:r>
          </w:p>
        </w:tc>
        <w:tc>
          <w:tcPr>
            <w:tcW w:w="3510" w:type="dxa"/>
            <w:vAlign w:val="center"/>
          </w:tcPr>
          <w:p w14:paraId="2F334860" w14:textId="1F761CC3" w:rsidR="00C54E06" w:rsidRDefault="00C54E06" w:rsidP="00C54E06">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28</w:t>
            </w:r>
          </w:p>
        </w:tc>
      </w:tr>
      <w:tr w:rsidR="00C54E06" w14:paraId="1B1AE64B" w14:textId="77777777" w:rsidTr="005F5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vAlign w:val="center"/>
          </w:tcPr>
          <w:p w14:paraId="21387F7A" w14:textId="178AE24C" w:rsidR="00C54E06" w:rsidRDefault="00C54E06" w:rsidP="00C54E06">
            <w:pPr>
              <w:jc w:val="center"/>
              <w:rPr>
                <w:lang w:val="en-GB" w:eastAsia="zh-CN"/>
              </w:rPr>
            </w:pPr>
            <w:r>
              <w:rPr>
                <w:lang w:val="en-GB" w:eastAsia="zh-CN"/>
              </w:rPr>
              <w:t>3</w:t>
            </w:r>
          </w:p>
        </w:tc>
        <w:tc>
          <w:tcPr>
            <w:tcW w:w="3510" w:type="dxa"/>
            <w:vAlign w:val="center"/>
          </w:tcPr>
          <w:p w14:paraId="0F7F20D3" w14:textId="5E58DF0A" w:rsidR="00C54E06" w:rsidRDefault="00C54E06" w:rsidP="00C54E06">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56</w:t>
            </w:r>
          </w:p>
        </w:tc>
      </w:tr>
      <w:tr w:rsidR="00C54E06" w14:paraId="7EF73E47" w14:textId="77777777" w:rsidTr="005F525A">
        <w:tc>
          <w:tcPr>
            <w:cnfStyle w:val="001000000000" w:firstRow="0" w:lastRow="0" w:firstColumn="1" w:lastColumn="0" w:oddVBand="0" w:evenVBand="0" w:oddHBand="0" w:evenHBand="0" w:firstRowFirstColumn="0" w:firstRowLastColumn="0" w:lastRowFirstColumn="0" w:lastRowLastColumn="0"/>
            <w:tcW w:w="3510" w:type="dxa"/>
            <w:vAlign w:val="center"/>
          </w:tcPr>
          <w:p w14:paraId="72018217" w14:textId="760F945D" w:rsidR="00C54E06" w:rsidRDefault="00C54E06" w:rsidP="00C54E06">
            <w:pPr>
              <w:jc w:val="center"/>
              <w:rPr>
                <w:lang w:val="en-GB" w:eastAsia="zh-CN"/>
              </w:rPr>
            </w:pPr>
            <w:r>
              <w:rPr>
                <w:lang w:val="en-GB" w:eastAsia="zh-CN"/>
              </w:rPr>
              <w:t>4</w:t>
            </w:r>
          </w:p>
        </w:tc>
        <w:tc>
          <w:tcPr>
            <w:tcW w:w="3510" w:type="dxa"/>
            <w:vAlign w:val="center"/>
          </w:tcPr>
          <w:p w14:paraId="3EE8AB0F" w14:textId="3F686D5F" w:rsidR="00C54E06" w:rsidRDefault="00C54E06" w:rsidP="00C54E06">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70</w:t>
            </w:r>
          </w:p>
        </w:tc>
      </w:tr>
      <w:tr w:rsidR="00C54E06" w14:paraId="59D7F515" w14:textId="77777777" w:rsidTr="005F5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vAlign w:val="center"/>
          </w:tcPr>
          <w:p w14:paraId="6E1D3635" w14:textId="34704ED7" w:rsidR="00C54E06" w:rsidRDefault="00C54E06" w:rsidP="00C54E06">
            <w:pPr>
              <w:jc w:val="center"/>
              <w:rPr>
                <w:lang w:val="en-GB" w:eastAsia="zh-CN"/>
              </w:rPr>
            </w:pPr>
            <w:r>
              <w:rPr>
                <w:lang w:val="en-GB" w:eastAsia="zh-CN"/>
              </w:rPr>
              <w:t>5</w:t>
            </w:r>
          </w:p>
        </w:tc>
        <w:tc>
          <w:tcPr>
            <w:tcW w:w="3510" w:type="dxa"/>
            <w:vAlign w:val="center"/>
          </w:tcPr>
          <w:p w14:paraId="71B57860" w14:textId="2983FD04" w:rsidR="00C54E06" w:rsidRDefault="00C54E06" w:rsidP="00C54E06">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56</w:t>
            </w:r>
          </w:p>
        </w:tc>
      </w:tr>
      <w:tr w:rsidR="00C54E06" w14:paraId="1B761CAA" w14:textId="77777777" w:rsidTr="005F525A">
        <w:tc>
          <w:tcPr>
            <w:cnfStyle w:val="001000000000" w:firstRow="0" w:lastRow="0" w:firstColumn="1" w:lastColumn="0" w:oddVBand="0" w:evenVBand="0" w:oddHBand="0" w:evenHBand="0" w:firstRowFirstColumn="0" w:firstRowLastColumn="0" w:lastRowFirstColumn="0" w:lastRowLastColumn="0"/>
            <w:tcW w:w="3510" w:type="dxa"/>
            <w:vAlign w:val="center"/>
          </w:tcPr>
          <w:p w14:paraId="4CE20A5C" w14:textId="0EC9BD6E" w:rsidR="00C54E06" w:rsidRDefault="00C54E06" w:rsidP="00C54E06">
            <w:pPr>
              <w:jc w:val="center"/>
              <w:rPr>
                <w:lang w:val="en-GB" w:eastAsia="zh-CN"/>
              </w:rPr>
            </w:pPr>
            <w:r>
              <w:rPr>
                <w:lang w:val="en-GB" w:eastAsia="zh-CN"/>
              </w:rPr>
              <w:t>6</w:t>
            </w:r>
          </w:p>
        </w:tc>
        <w:tc>
          <w:tcPr>
            <w:tcW w:w="3510" w:type="dxa"/>
            <w:vAlign w:val="center"/>
          </w:tcPr>
          <w:p w14:paraId="16B43C33" w14:textId="2C2FA701" w:rsidR="00C54E06" w:rsidRDefault="00C54E06" w:rsidP="00C54E06">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28</w:t>
            </w:r>
          </w:p>
        </w:tc>
      </w:tr>
      <w:tr w:rsidR="00C54E06" w14:paraId="213903C0" w14:textId="77777777" w:rsidTr="005F525A">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510" w:type="dxa"/>
            <w:vAlign w:val="center"/>
          </w:tcPr>
          <w:p w14:paraId="1D3658B6" w14:textId="583B9DAC" w:rsidR="00C54E06" w:rsidRDefault="00C54E06" w:rsidP="00C54E06">
            <w:pPr>
              <w:jc w:val="center"/>
              <w:rPr>
                <w:lang w:val="en-GB" w:eastAsia="zh-CN"/>
              </w:rPr>
            </w:pPr>
            <w:r>
              <w:rPr>
                <w:lang w:val="en-GB" w:eastAsia="zh-CN"/>
              </w:rPr>
              <w:t>7</w:t>
            </w:r>
          </w:p>
        </w:tc>
        <w:tc>
          <w:tcPr>
            <w:tcW w:w="3510" w:type="dxa"/>
            <w:vAlign w:val="center"/>
          </w:tcPr>
          <w:p w14:paraId="48F60560" w14:textId="267A87A1" w:rsidR="00C54E06" w:rsidRDefault="00C54E06" w:rsidP="00C54E06">
            <w:pPr>
              <w:jc w:val="center"/>
              <w:cnfStyle w:val="000000100000" w:firstRow="0" w:lastRow="0" w:firstColumn="0" w:lastColumn="0" w:oddVBand="0" w:evenVBand="0" w:oddHBand="1" w:evenHBand="0" w:firstRowFirstColumn="0" w:firstRowLastColumn="0" w:lastRowFirstColumn="0" w:lastRowLastColumn="0"/>
              <w:rPr>
                <w:lang w:val="en-GB" w:eastAsia="zh-CN"/>
              </w:rPr>
            </w:pPr>
            <w:r>
              <w:rPr>
                <w:lang w:val="en-GB" w:eastAsia="zh-CN"/>
              </w:rPr>
              <w:t>8</w:t>
            </w:r>
          </w:p>
        </w:tc>
      </w:tr>
      <w:tr w:rsidR="00C54E06" w14:paraId="62CF8B8A" w14:textId="77777777" w:rsidTr="005F525A">
        <w:trPr>
          <w:trHeight w:val="70"/>
        </w:trPr>
        <w:tc>
          <w:tcPr>
            <w:cnfStyle w:val="001000000000" w:firstRow="0" w:lastRow="0" w:firstColumn="1" w:lastColumn="0" w:oddVBand="0" w:evenVBand="0" w:oddHBand="0" w:evenHBand="0" w:firstRowFirstColumn="0" w:firstRowLastColumn="0" w:lastRowFirstColumn="0" w:lastRowLastColumn="0"/>
            <w:tcW w:w="3510" w:type="dxa"/>
            <w:vAlign w:val="center"/>
          </w:tcPr>
          <w:p w14:paraId="488D8B3D" w14:textId="1A41E69F" w:rsidR="00C54E06" w:rsidRDefault="00C54E06" w:rsidP="00C54E06">
            <w:pPr>
              <w:jc w:val="center"/>
              <w:rPr>
                <w:lang w:val="en-GB" w:eastAsia="zh-CN"/>
              </w:rPr>
            </w:pPr>
            <w:r>
              <w:rPr>
                <w:lang w:val="en-GB" w:eastAsia="zh-CN"/>
              </w:rPr>
              <w:t>8</w:t>
            </w:r>
          </w:p>
        </w:tc>
        <w:tc>
          <w:tcPr>
            <w:tcW w:w="3510" w:type="dxa"/>
            <w:vAlign w:val="center"/>
          </w:tcPr>
          <w:p w14:paraId="792385C3" w14:textId="3A6B1590" w:rsidR="00C54E06" w:rsidRDefault="00C54E06" w:rsidP="00C54E06">
            <w:pPr>
              <w:jc w:val="center"/>
              <w:cnfStyle w:val="000000000000" w:firstRow="0" w:lastRow="0" w:firstColumn="0" w:lastColumn="0" w:oddVBand="0" w:evenVBand="0" w:oddHBand="0" w:evenHBand="0" w:firstRowFirstColumn="0" w:firstRowLastColumn="0" w:lastRowFirstColumn="0" w:lastRowLastColumn="0"/>
              <w:rPr>
                <w:lang w:val="en-GB" w:eastAsia="zh-CN"/>
              </w:rPr>
            </w:pPr>
            <w:r>
              <w:rPr>
                <w:lang w:val="en-GB" w:eastAsia="zh-CN"/>
              </w:rPr>
              <w:t>1</w:t>
            </w:r>
          </w:p>
        </w:tc>
      </w:tr>
    </w:tbl>
    <w:p w14:paraId="0FCC151A" w14:textId="545A1E67" w:rsidR="00C54E06" w:rsidRDefault="00C54E06" w:rsidP="00307D44">
      <w:pPr>
        <w:rPr>
          <w:lang w:val="en-GB" w:eastAsia="zh-CN"/>
        </w:rPr>
      </w:pPr>
    </w:p>
    <w:p w14:paraId="204D32EE" w14:textId="22C74DB1" w:rsidR="00C54E06" w:rsidRDefault="00DA1ED1" w:rsidP="00307D44">
      <w:pPr>
        <w:rPr>
          <w:lang w:val="en-GB" w:eastAsia="zh-CN"/>
        </w:rPr>
      </w:pPr>
      <w:r>
        <w:rPr>
          <w:rFonts w:eastAsiaTheme="minorEastAsia"/>
          <w:lang w:val="en-GB" w:eastAsia="zh-CN"/>
        </w:rPr>
        <w:t xml:space="preserve">Assuming the UE knows </w:t>
      </w:r>
      <w:r>
        <w:rPr>
          <w:b/>
          <w:i/>
          <w:lang w:val="en-GB" w:eastAsia="zh-CN"/>
        </w:rPr>
        <w:t>K’</w:t>
      </w:r>
      <w:r>
        <w:rPr>
          <w:b/>
          <w:lang w:val="en-GB" w:eastAsia="zh-CN"/>
        </w:rPr>
        <w:t xml:space="preserve">, </w:t>
      </w:r>
      <m:oMath>
        <m:func>
          <m:funcPr>
            <m:ctrlPr>
              <w:rPr>
                <w:rFonts w:ascii="Cambria Math" w:hAnsi="Cambria Math"/>
                <w:i/>
                <w:lang w:val="en-GB" w:eastAsia="zh-CN"/>
              </w:rPr>
            </m:ctrlPr>
          </m:funcPr>
          <m:fName>
            <m:sSub>
              <m:sSubPr>
                <m:ctrlPr>
                  <w:rPr>
                    <w:rFonts w:ascii="Cambria Math" w:hAnsi="Cambria Math"/>
                    <w:i/>
                    <w:lang w:val="en-GB" w:eastAsia="zh-CN"/>
                  </w:rPr>
                </m:ctrlPr>
              </m:sSubPr>
              <m:e>
                <m:r>
                  <m:rPr>
                    <m:sty m:val="p"/>
                  </m:rPr>
                  <w:rPr>
                    <w:rFonts w:ascii="Cambria Math" w:hAnsi="Cambria Math"/>
                    <w:lang w:val="en-GB" w:eastAsia="zh-CN"/>
                  </w:rPr>
                  <m:t>log</m:t>
                </m:r>
              </m:e>
              <m:sub>
                <m:r>
                  <w:rPr>
                    <w:rFonts w:ascii="Cambria Math" w:hAnsi="Cambria Math"/>
                    <w:lang w:val="en-GB" w:eastAsia="zh-CN"/>
                  </w:rPr>
                  <m:t>2</m:t>
                </m:r>
              </m:sub>
            </m:sSub>
          </m:fName>
          <m:e>
            <m:d>
              <m:dPr>
                <m:begChr m:val="{"/>
                <m:endChr m:val="}"/>
                <m:ctrlPr>
                  <w:rPr>
                    <w:rFonts w:ascii="Cambria Math" w:hAnsi="Cambria Math"/>
                    <w:i/>
                    <w:lang w:val="en-GB" w:eastAsia="zh-CN"/>
                  </w:rPr>
                </m:ctrlPr>
              </m:dPr>
              <m:e>
                <m:r>
                  <w:rPr>
                    <w:rFonts w:ascii="Cambria Math" w:hAnsi="Cambria Math"/>
                    <w:lang w:val="en-GB" w:eastAsia="zh-CN"/>
                  </w:rPr>
                  <m:t>nchoosek(K,K')</m:t>
                </m:r>
              </m:e>
            </m:d>
          </m:e>
        </m:func>
      </m:oMath>
      <w:r w:rsidR="00141953">
        <w:rPr>
          <w:rFonts w:eastAsiaTheme="minorEastAsia"/>
          <w:lang w:val="en-GB" w:eastAsia="zh-CN"/>
        </w:rPr>
        <w:t xml:space="preserve"> bits are needed to dynamically indicate which </w:t>
      </w:r>
      <w:r w:rsidR="00141953">
        <w:rPr>
          <w:b/>
          <w:i/>
          <w:lang w:val="en-GB" w:eastAsia="zh-CN"/>
        </w:rPr>
        <w:t>K’</w:t>
      </w:r>
      <w:r w:rsidR="00141953">
        <w:rPr>
          <w:lang w:val="en-GB" w:eastAsia="zh-CN"/>
        </w:rPr>
        <w:t xml:space="preserve"> out of the </w:t>
      </w:r>
      <w:r w:rsidR="005F525A">
        <w:rPr>
          <w:b/>
          <w:i/>
          <w:lang w:val="en-GB" w:eastAsia="zh-CN"/>
        </w:rPr>
        <w:t>K</w:t>
      </w:r>
      <w:r w:rsidR="005F525A">
        <w:rPr>
          <w:lang w:val="en-GB" w:eastAsia="zh-CN"/>
        </w:rPr>
        <w:t xml:space="preserve"> aperiodic CSI-RS resources are being used in subframe </w:t>
      </w:r>
      <w:r w:rsidR="005F525A" w:rsidRPr="005F525A">
        <w:rPr>
          <w:i/>
          <w:lang w:val="en-GB" w:eastAsia="zh-CN"/>
        </w:rPr>
        <w:t>n</w:t>
      </w:r>
      <w:r w:rsidR="005F525A">
        <w:rPr>
          <w:lang w:val="en-GB" w:eastAsia="zh-CN"/>
        </w:rPr>
        <w:t xml:space="preserve">.  For instance, from </w:t>
      </w:r>
      <w:r w:rsidR="005F525A">
        <w:rPr>
          <w:lang w:val="en-GB" w:eastAsia="zh-CN"/>
        </w:rPr>
        <w:fldChar w:fldCharType="begin"/>
      </w:r>
      <w:r w:rsidR="005F525A">
        <w:rPr>
          <w:lang w:val="en-GB" w:eastAsia="zh-CN"/>
        </w:rPr>
        <w:instrText xml:space="preserve"> REF _Ref462531429 \h </w:instrText>
      </w:r>
      <w:r w:rsidR="005F525A">
        <w:rPr>
          <w:lang w:val="en-GB" w:eastAsia="zh-CN"/>
        </w:rPr>
      </w:r>
      <w:r w:rsidR="005F525A">
        <w:rPr>
          <w:lang w:val="en-GB" w:eastAsia="zh-CN"/>
        </w:rPr>
        <w:fldChar w:fldCharType="separate"/>
      </w:r>
      <w:r w:rsidR="00BB029E" w:rsidRPr="002672D9">
        <w:t xml:space="preserve">Table </w:t>
      </w:r>
      <w:r w:rsidR="00BB029E">
        <w:rPr>
          <w:noProof/>
        </w:rPr>
        <w:t>1</w:t>
      </w:r>
      <w:r w:rsidR="005F525A">
        <w:rPr>
          <w:lang w:val="en-GB" w:eastAsia="zh-CN"/>
        </w:rPr>
        <w:fldChar w:fldCharType="end"/>
      </w:r>
      <w:r w:rsidR="005F525A">
        <w:rPr>
          <w:lang w:val="en-GB" w:eastAsia="zh-CN"/>
        </w:rPr>
        <w:t xml:space="preserve">, it is seen that the largest number of 70 combinations happens when </w:t>
      </w:r>
      <w:r w:rsidR="005F525A">
        <w:rPr>
          <w:b/>
          <w:i/>
          <w:lang w:val="en-GB" w:eastAsia="zh-CN"/>
        </w:rPr>
        <w:t>K’=4</w:t>
      </w:r>
      <w:r w:rsidR="005F525A">
        <w:rPr>
          <w:lang w:val="en-GB" w:eastAsia="zh-CN"/>
        </w:rPr>
        <w:t xml:space="preserve">.  Hence, </w:t>
      </w:r>
      <m:oMath>
        <m:d>
          <m:dPr>
            <m:begChr m:val="⌈"/>
            <m:endChr m:val="⌉"/>
            <m:ctrlPr>
              <w:rPr>
                <w:rFonts w:ascii="Cambria Math" w:hAnsi="Cambria Math"/>
                <w:i/>
                <w:lang w:val="en-GB" w:eastAsia="zh-CN"/>
              </w:rPr>
            </m:ctrlPr>
          </m:dPr>
          <m:e>
            <m:func>
              <m:funcPr>
                <m:ctrlPr>
                  <w:rPr>
                    <w:rFonts w:ascii="Cambria Math" w:hAnsi="Cambria Math"/>
                    <w:i/>
                    <w:lang w:val="en-GB" w:eastAsia="zh-CN"/>
                  </w:rPr>
                </m:ctrlPr>
              </m:funcPr>
              <m:fName>
                <m:sSub>
                  <m:sSubPr>
                    <m:ctrlPr>
                      <w:rPr>
                        <w:rFonts w:ascii="Cambria Math" w:hAnsi="Cambria Math"/>
                        <w:i/>
                        <w:lang w:val="en-GB" w:eastAsia="zh-CN"/>
                      </w:rPr>
                    </m:ctrlPr>
                  </m:sSubPr>
                  <m:e>
                    <m:r>
                      <m:rPr>
                        <m:sty m:val="p"/>
                      </m:rPr>
                      <w:rPr>
                        <w:rFonts w:ascii="Cambria Math" w:hAnsi="Cambria Math"/>
                        <w:lang w:val="en-GB" w:eastAsia="zh-CN"/>
                      </w:rPr>
                      <m:t>log</m:t>
                    </m:r>
                  </m:e>
                  <m:sub>
                    <m:r>
                      <w:rPr>
                        <w:rFonts w:ascii="Cambria Math" w:hAnsi="Cambria Math"/>
                        <w:lang w:val="en-GB" w:eastAsia="zh-CN"/>
                      </w:rPr>
                      <m:t>2</m:t>
                    </m:r>
                  </m:sub>
                </m:sSub>
              </m:fName>
              <m:e>
                <m:d>
                  <m:dPr>
                    <m:begChr m:val="{"/>
                    <m:endChr m:val="}"/>
                    <m:ctrlPr>
                      <w:rPr>
                        <w:rFonts w:ascii="Cambria Math" w:hAnsi="Cambria Math"/>
                        <w:i/>
                        <w:lang w:val="en-GB" w:eastAsia="zh-CN"/>
                      </w:rPr>
                    </m:ctrlPr>
                  </m:dPr>
                  <m:e>
                    <m:r>
                      <w:rPr>
                        <w:rFonts w:ascii="Cambria Math" w:hAnsi="Cambria Math"/>
                        <w:lang w:val="en-GB" w:eastAsia="zh-CN"/>
                      </w:rPr>
                      <m:t>70</m:t>
                    </m:r>
                  </m:e>
                </m:d>
              </m:e>
            </m:func>
          </m:e>
        </m:d>
        <m:r>
          <w:rPr>
            <w:rFonts w:ascii="Cambria Math" w:hAnsi="Cambria Math"/>
            <w:lang w:val="en-GB" w:eastAsia="zh-CN"/>
          </w:rPr>
          <m:t>=7 bits</m:t>
        </m:r>
      </m:oMath>
      <w:r w:rsidR="005F525A">
        <w:rPr>
          <w:rFonts w:eastAsiaTheme="minorEastAsia"/>
          <w:lang w:val="en-GB" w:eastAsia="zh-CN"/>
        </w:rPr>
        <w:t xml:space="preserve"> are need</w:t>
      </w:r>
      <w:r>
        <w:rPr>
          <w:rFonts w:eastAsiaTheme="minorEastAsia"/>
          <w:lang w:val="en-GB" w:eastAsia="zh-CN"/>
        </w:rPr>
        <w:t xml:space="preserve">ed.  If the UE does not know </w:t>
      </w:r>
      <w:r>
        <w:rPr>
          <w:b/>
          <w:i/>
          <w:lang w:val="en-GB" w:eastAsia="zh-CN"/>
        </w:rPr>
        <w:t>K’</w:t>
      </w:r>
      <w:r>
        <w:rPr>
          <w:lang w:val="en-GB" w:eastAsia="zh-CN"/>
        </w:rPr>
        <w:t xml:space="preserve">, all possible combinations need to be signalled, and </w:t>
      </w:r>
      <w:r w:rsidR="008D19E3">
        <w:rPr>
          <w:lang w:val="en-GB" w:eastAsia="zh-CN"/>
        </w:rPr>
        <w:t>a</w:t>
      </w:r>
      <w:r w:rsidR="005F525A">
        <w:rPr>
          <w:rFonts w:eastAsiaTheme="minorEastAsia"/>
          <w:lang w:val="en-GB" w:eastAsia="zh-CN"/>
        </w:rPr>
        <w:t xml:space="preserve"> </w:t>
      </w:r>
      <w:r w:rsidR="008D19E3">
        <w:rPr>
          <w:rFonts w:eastAsiaTheme="minorEastAsia"/>
          <w:lang w:val="en-GB" w:eastAsia="zh-CN"/>
        </w:rPr>
        <w:t>bitmap of 8 bits</w:t>
      </w:r>
      <w:r w:rsidR="00DA15B0">
        <w:rPr>
          <w:rFonts w:eastAsiaTheme="minorEastAsia"/>
          <w:lang w:val="en-GB" w:eastAsia="zh-CN"/>
        </w:rPr>
        <w:t xml:space="preserve"> </w:t>
      </w:r>
      <w:r w:rsidR="008D19E3">
        <w:rPr>
          <w:rFonts w:eastAsiaTheme="minorEastAsia"/>
          <w:lang w:val="en-GB" w:eastAsia="zh-CN"/>
        </w:rPr>
        <w:t xml:space="preserve">is </w:t>
      </w:r>
      <w:r w:rsidR="00DA15B0">
        <w:rPr>
          <w:rFonts w:eastAsiaTheme="minorEastAsia"/>
          <w:lang w:val="en-GB" w:eastAsia="zh-CN"/>
        </w:rPr>
        <w:t xml:space="preserve">needed </w:t>
      </w:r>
      <w:r w:rsidR="005F525A">
        <w:rPr>
          <w:rFonts w:eastAsiaTheme="minorEastAsia"/>
          <w:lang w:val="en-GB" w:eastAsia="zh-CN"/>
        </w:rPr>
        <w:t xml:space="preserve">to fully dynamically indicate which </w:t>
      </w:r>
      <w:r w:rsidR="005F525A">
        <w:rPr>
          <w:b/>
          <w:i/>
          <w:lang w:val="en-GB" w:eastAsia="zh-CN"/>
        </w:rPr>
        <w:t>K’</w:t>
      </w:r>
      <w:r w:rsidR="005F525A">
        <w:rPr>
          <w:lang w:val="en-GB" w:eastAsia="zh-CN"/>
        </w:rPr>
        <w:t xml:space="preserve"> out of the </w:t>
      </w:r>
      <w:r w:rsidR="005F525A">
        <w:rPr>
          <w:b/>
          <w:i/>
          <w:lang w:val="en-GB" w:eastAsia="zh-CN"/>
        </w:rPr>
        <w:t>K</w:t>
      </w:r>
      <w:r w:rsidR="005F525A">
        <w:rPr>
          <w:lang w:val="en-GB" w:eastAsia="zh-CN"/>
        </w:rPr>
        <w:t xml:space="preserve"> aperiodic CSI-RS resources are being used in subframe </w:t>
      </w:r>
      <w:r w:rsidR="005F525A" w:rsidRPr="005F525A">
        <w:rPr>
          <w:i/>
          <w:lang w:val="en-GB" w:eastAsia="zh-CN"/>
        </w:rPr>
        <w:t>n</w:t>
      </w:r>
      <w:r w:rsidR="00C75F8F">
        <w:rPr>
          <w:lang w:val="en-GB" w:eastAsia="zh-CN"/>
        </w:rPr>
        <w:t xml:space="preserve">.  This amounts to a large increase in </w:t>
      </w:r>
      <w:r w:rsidR="00DA15B0">
        <w:rPr>
          <w:lang w:val="en-GB" w:eastAsia="zh-CN"/>
        </w:rPr>
        <w:t>DCI</w:t>
      </w:r>
      <w:r w:rsidR="00C75F8F">
        <w:rPr>
          <w:lang w:val="en-GB" w:eastAsia="zh-CN"/>
        </w:rPr>
        <w:t xml:space="preserve"> overhead.</w:t>
      </w:r>
    </w:p>
    <w:p w14:paraId="5223171A" w14:textId="77777777" w:rsidR="00C75F8F" w:rsidRPr="0098675A" w:rsidRDefault="00C75F8F" w:rsidP="00C75F8F">
      <w:pPr>
        <w:spacing w:after="0"/>
        <w:rPr>
          <w:lang w:val="en-GB" w:eastAsia="zh-CN"/>
        </w:rPr>
      </w:pPr>
    </w:p>
    <w:p w14:paraId="273A1B2F" w14:textId="0C6BC217" w:rsidR="00C75F8F" w:rsidRPr="002672D9" w:rsidRDefault="00C75F8F" w:rsidP="00C75F8F">
      <w:pPr>
        <w:pStyle w:val="Observation"/>
      </w:pPr>
      <w:bookmarkStart w:id="1" w:name="_Toc463052994"/>
      <w:r w:rsidRPr="002672D9">
        <w:lastRenderedPageBreak/>
        <w:t xml:space="preserve">To fully dynamically indicate which </w:t>
      </w:r>
      <w:r w:rsidRPr="002672D9">
        <w:rPr>
          <w:i/>
        </w:rPr>
        <w:t>K’</w:t>
      </w:r>
      <w:r w:rsidRPr="002672D9">
        <w:t xml:space="preserve"> out of the </w:t>
      </w:r>
      <w:r w:rsidRPr="002672D9">
        <w:rPr>
          <w:i/>
        </w:rPr>
        <w:t>K</w:t>
      </w:r>
      <w:r w:rsidRPr="002672D9">
        <w:t xml:space="preserve"> aperiodic CSI-RS resources are being used in a given subframe for the purposes of PDSCH rate matching, </w:t>
      </w:r>
      <w:r w:rsidR="00A67D43">
        <w:t xml:space="preserve">a bitmap of 8 </w:t>
      </w:r>
      <w:r>
        <w:rPr>
          <w:rFonts w:eastAsiaTheme="minorEastAsia"/>
          <w:bCs w:val="0"/>
          <w:lang w:val="en-GB" w:eastAsia="zh-CN"/>
        </w:rPr>
        <w:t xml:space="preserve">DCI bits </w:t>
      </w:r>
      <w:r w:rsidR="00A67D43">
        <w:rPr>
          <w:rFonts w:eastAsiaTheme="minorEastAsia"/>
          <w:bCs w:val="0"/>
          <w:lang w:val="en-GB" w:eastAsia="zh-CN"/>
        </w:rPr>
        <w:t xml:space="preserve">is </w:t>
      </w:r>
      <w:r>
        <w:rPr>
          <w:rFonts w:eastAsiaTheme="minorEastAsia"/>
          <w:bCs w:val="0"/>
          <w:lang w:val="en-GB" w:eastAsia="zh-CN"/>
        </w:rPr>
        <w:t>required</w:t>
      </w:r>
      <w:r w:rsidRPr="002672D9">
        <w:t>.</w:t>
      </w:r>
      <w:bookmarkEnd w:id="1"/>
    </w:p>
    <w:p w14:paraId="20DEEC3D" w14:textId="3F16C484" w:rsidR="00C75F8F" w:rsidRPr="002672D9" w:rsidRDefault="00323DF1" w:rsidP="00C75F8F">
      <w:pPr>
        <w:pStyle w:val="Observation"/>
      </w:pPr>
      <w:bookmarkStart w:id="2" w:name="_Toc463052995"/>
      <w:r>
        <w:t>Even when K’ is known with</w:t>
      </w:r>
      <w:r w:rsidR="00C75F8F" w:rsidRPr="002672D9">
        <w:t xml:space="preserve"> </w:t>
      </w:r>
      <w:r w:rsidR="00C75F8F" w:rsidRPr="002672D9">
        <w:rPr>
          <w:i/>
        </w:rPr>
        <w:t>K=8</w:t>
      </w:r>
      <w:r w:rsidR="00C75F8F" w:rsidRPr="002672D9">
        <w:t xml:space="preserve"> aperiodic CSI-RS resources, 7 </w:t>
      </w:r>
      <w:r w:rsidR="00DA15B0">
        <w:t>DCI</w:t>
      </w:r>
      <w:r w:rsidR="00EE2CC9" w:rsidRPr="002672D9">
        <w:t xml:space="preserve"> bits are needed </w:t>
      </w:r>
      <w:r w:rsidR="00C75F8F" w:rsidRPr="002672D9">
        <w:t xml:space="preserve">which </w:t>
      </w:r>
      <w:r>
        <w:t xml:space="preserve">still </w:t>
      </w:r>
      <w:r w:rsidR="00C75F8F" w:rsidRPr="002672D9">
        <w:t xml:space="preserve">amounts to a large increase in </w:t>
      </w:r>
      <w:r w:rsidR="00DA15B0">
        <w:t>DCI</w:t>
      </w:r>
      <w:r w:rsidR="00C75F8F" w:rsidRPr="002672D9">
        <w:t xml:space="preserve"> overhead.</w:t>
      </w:r>
      <w:bookmarkEnd w:id="2"/>
    </w:p>
    <w:p w14:paraId="31E552D7" w14:textId="219C18C0" w:rsidR="002A7741" w:rsidRDefault="00E24074" w:rsidP="00307D44">
      <w:pPr>
        <w:rPr>
          <w:lang w:val="en-GB" w:eastAsia="zh-CN"/>
        </w:rPr>
      </w:pPr>
      <w:r>
        <w:rPr>
          <w:lang w:val="en-GB" w:eastAsia="zh-CN"/>
        </w:rPr>
        <w:t>With regards to the alternatives identified in RAN1#86, both Alternatives 1 and 2 will incur such larg</w:t>
      </w:r>
      <w:r w:rsidR="002A7741">
        <w:rPr>
          <w:lang w:val="en-GB" w:eastAsia="zh-CN"/>
        </w:rPr>
        <w:t xml:space="preserve">e increase in </w:t>
      </w:r>
      <w:r w:rsidR="00DA15B0">
        <w:rPr>
          <w:lang w:val="en-GB" w:eastAsia="zh-CN"/>
        </w:rPr>
        <w:t>DCI</w:t>
      </w:r>
      <w:r w:rsidR="002A7741">
        <w:rPr>
          <w:lang w:val="en-GB" w:eastAsia="zh-CN"/>
        </w:rPr>
        <w:t xml:space="preserve"> overhead.</w:t>
      </w:r>
    </w:p>
    <w:p w14:paraId="2D90CFEB" w14:textId="145F4A32" w:rsidR="002A7741" w:rsidRDefault="00E24074" w:rsidP="00307D44">
      <w:pPr>
        <w:rPr>
          <w:lang w:val="en-GB" w:eastAsia="zh-CN"/>
        </w:rPr>
      </w:pPr>
      <w:r>
        <w:rPr>
          <w:lang w:val="en-GB" w:eastAsia="zh-CN"/>
        </w:rPr>
        <w:t>For Alternative-2 where a</w:t>
      </w:r>
      <w:r w:rsidR="002A7741">
        <w:rPr>
          <w:lang w:val="en-GB" w:eastAsia="zh-CN"/>
        </w:rPr>
        <w:t>n</w:t>
      </w:r>
      <w:r>
        <w:rPr>
          <w:lang w:val="en-GB" w:eastAsia="zh-CN"/>
        </w:rPr>
        <w:t xml:space="preserve"> aperiodic ZP CSI-RS resource signalling field</w:t>
      </w:r>
      <w:r w:rsidR="009B5D4E">
        <w:rPr>
          <w:lang w:val="en-GB" w:eastAsia="zh-CN"/>
        </w:rPr>
        <w:t xml:space="preserve"> is introduced in </w:t>
      </w:r>
      <w:r w:rsidR="00DA15B0">
        <w:rPr>
          <w:lang w:val="en-GB" w:eastAsia="zh-CN"/>
        </w:rPr>
        <w:t>DCI</w:t>
      </w:r>
      <w:r w:rsidR="009B5D4E">
        <w:rPr>
          <w:lang w:val="en-GB" w:eastAsia="zh-CN"/>
        </w:rPr>
        <w:t>s for all TMs</w:t>
      </w:r>
      <w:r>
        <w:rPr>
          <w:lang w:val="en-GB" w:eastAsia="zh-CN"/>
        </w:rPr>
        <w:t xml:space="preserve">, the </w:t>
      </w:r>
      <w:r w:rsidR="00DA15B0">
        <w:rPr>
          <w:lang w:val="en-GB" w:eastAsia="zh-CN"/>
        </w:rPr>
        <w:t>DCI</w:t>
      </w:r>
      <w:r>
        <w:rPr>
          <w:lang w:val="en-GB" w:eastAsia="zh-CN"/>
        </w:rPr>
        <w:t xml:space="preserve"> overhead increase will impact all TMs.  </w:t>
      </w:r>
      <w:r w:rsidR="007A610C">
        <w:rPr>
          <w:lang w:val="en-GB" w:eastAsia="zh-CN"/>
        </w:rPr>
        <w:t>To this end, Alternative-2 is not preferred.</w:t>
      </w:r>
    </w:p>
    <w:p w14:paraId="7A198955" w14:textId="37551250" w:rsidR="00CF625D" w:rsidRPr="002672D9" w:rsidRDefault="009B5D4E" w:rsidP="00794231">
      <w:pPr>
        <w:pStyle w:val="Observation"/>
        <w:ind w:left="1699" w:hanging="1699"/>
      </w:pPr>
      <w:bookmarkStart w:id="3" w:name="_Toc463052996"/>
      <w:r w:rsidRPr="002672D9">
        <w:t xml:space="preserve">Introducing an aperiodic ZP CSI-RS resource signaling field </w:t>
      </w:r>
      <w:r w:rsidR="00872A62" w:rsidRPr="002672D9">
        <w:t xml:space="preserve">in </w:t>
      </w:r>
      <w:r w:rsidR="00DA15B0">
        <w:t>DCI</w:t>
      </w:r>
      <w:r w:rsidR="00872A62" w:rsidRPr="002672D9">
        <w:t xml:space="preserve">s for all TMs will result in unwanted increase in </w:t>
      </w:r>
      <w:r w:rsidR="00DA15B0">
        <w:t>DCI</w:t>
      </w:r>
      <w:r w:rsidR="00872A62" w:rsidRPr="002672D9">
        <w:t xml:space="preserve"> overhead</w:t>
      </w:r>
      <w:r w:rsidR="00CF625D" w:rsidRPr="002672D9">
        <w:t>.</w:t>
      </w:r>
      <w:bookmarkEnd w:id="3"/>
    </w:p>
    <w:p w14:paraId="3A222F04" w14:textId="2FF00F14" w:rsidR="00C75F8F" w:rsidRDefault="002A7741" w:rsidP="00307D44">
      <w:pPr>
        <w:rPr>
          <w:lang w:val="en-GB" w:eastAsia="zh-CN"/>
        </w:rPr>
      </w:pPr>
      <w:r>
        <w:rPr>
          <w:lang w:val="en-GB" w:eastAsia="zh-CN"/>
        </w:rPr>
        <w:t>For</w:t>
      </w:r>
      <w:r w:rsidR="00953266">
        <w:rPr>
          <w:lang w:val="en-GB" w:eastAsia="zh-CN"/>
        </w:rPr>
        <w:t xml:space="preserve"> Alternative-</w:t>
      </w:r>
      <w:r w:rsidR="00E24074">
        <w:rPr>
          <w:lang w:val="en-GB" w:eastAsia="zh-CN"/>
        </w:rPr>
        <w:t>1 where a new</w:t>
      </w:r>
      <w:r>
        <w:rPr>
          <w:lang w:val="en-GB" w:eastAsia="zh-CN"/>
        </w:rPr>
        <w:t xml:space="preserve"> common DCI is monitored in the common search space, </w:t>
      </w:r>
      <w:r w:rsidR="00F321F0">
        <w:rPr>
          <w:lang w:val="en-GB" w:eastAsia="zh-CN"/>
        </w:rPr>
        <w:t xml:space="preserve">the overhead is even more significant due to the limited PDCCH capacity in the common search space and the need to cover the entire cell with a common DCI.  </w:t>
      </w:r>
      <w:r w:rsidR="00F21426">
        <w:rPr>
          <w:lang w:val="en-GB" w:eastAsia="zh-CN"/>
        </w:rPr>
        <w:t xml:space="preserve">In  case of carrier aggregation, </w:t>
      </w:r>
      <w:r w:rsidR="008F144F">
        <w:rPr>
          <w:lang w:val="en-GB" w:eastAsia="zh-CN"/>
        </w:rPr>
        <w:t xml:space="preserve">a UE may not monitor </w:t>
      </w:r>
      <w:r w:rsidR="00953266">
        <w:rPr>
          <w:lang w:val="en-GB" w:eastAsia="zh-CN"/>
        </w:rPr>
        <w:t xml:space="preserve">the common search space </w:t>
      </w:r>
      <w:r w:rsidR="008F144F">
        <w:rPr>
          <w:lang w:val="en-GB" w:eastAsia="zh-CN"/>
        </w:rPr>
        <w:t xml:space="preserve">on secondary </w:t>
      </w:r>
      <w:r w:rsidR="00953266">
        <w:rPr>
          <w:lang w:val="en-GB" w:eastAsia="zh-CN"/>
        </w:rPr>
        <w:t>component carrier</w:t>
      </w:r>
      <w:r w:rsidR="008F144F">
        <w:rPr>
          <w:lang w:val="en-GB" w:eastAsia="zh-CN"/>
        </w:rPr>
        <w:t>s</w:t>
      </w:r>
      <w:r w:rsidR="00953266">
        <w:rPr>
          <w:lang w:val="en-GB" w:eastAsia="zh-CN"/>
        </w:rPr>
        <w:t xml:space="preserve"> and the new common DCI solution proposed in Alternative-1 for PDSCH rate matching </w:t>
      </w:r>
      <w:r w:rsidR="0056725A">
        <w:rPr>
          <w:lang w:val="en-GB" w:eastAsia="zh-CN"/>
        </w:rPr>
        <w:t xml:space="preserve">may be limited to a subset of </w:t>
      </w:r>
      <w:r w:rsidR="00953266">
        <w:rPr>
          <w:lang w:val="en-GB" w:eastAsia="zh-CN"/>
        </w:rPr>
        <w:t>component carrier</w:t>
      </w:r>
      <w:r w:rsidR="0056725A">
        <w:rPr>
          <w:lang w:val="en-GB" w:eastAsia="zh-CN"/>
        </w:rPr>
        <w:t>s</w:t>
      </w:r>
      <w:r w:rsidR="00953266">
        <w:rPr>
          <w:lang w:val="en-GB" w:eastAsia="zh-CN"/>
        </w:rPr>
        <w:t xml:space="preserve">.  </w:t>
      </w:r>
    </w:p>
    <w:p w14:paraId="69F104A3" w14:textId="48E3F4DA" w:rsidR="003C76AC" w:rsidRPr="002672D9" w:rsidRDefault="003C76AC" w:rsidP="003C76AC">
      <w:pPr>
        <w:pStyle w:val="Observation"/>
      </w:pPr>
      <w:bookmarkStart w:id="4" w:name="_Toc463052997"/>
      <w:r w:rsidRPr="002672D9">
        <w:t>Dynamically indicating aperiodic ZP CSI-RS by a new common DCI results in increased number of blind detection attempts in the common search space</w:t>
      </w:r>
      <w:r w:rsidR="007B38A7">
        <w:t>, PDCCH overhead,</w:t>
      </w:r>
      <w:r w:rsidRPr="002672D9">
        <w:t xml:space="preserve"> and </w:t>
      </w:r>
      <w:r w:rsidR="008C70A6" w:rsidRPr="002672D9">
        <w:t>cannot be applied in all cases of carrier aggregation</w:t>
      </w:r>
      <w:r w:rsidRPr="002672D9">
        <w:t>.</w:t>
      </w:r>
      <w:bookmarkEnd w:id="4"/>
    </w:p>
    <w:p w14:paraId="23BE85BE" w14:textId="34ACDA7E" w:rsidR="003D4B0C" w:rsidRPr="00427D3D" w:rsidRDefault="00794231" w:rsidP="002333C7">
      <w:pPr>
        <w:rPr>
          <w:lang w:val="en-GB" w:eastAsia="zh-CN"/>
        </w:rPr>
      </w:pPr>
      <w:r>
        <w:rPr>
          <w:lang w:val="en-GB" w:eastAsia="zh-CN"/>
        </w:rPr>
        <w:t xml:space="preserve">For Alternative-3, increasing the number of PQI states for TM10 is undesirable since this will increase the overhead associated with DCI format 2D.  For instance, </w:t>
      </w:r>
      <w:r w:rsidR="002333C7">
        <w:rPr>
          <w:lang w:val="en-GB" w:eastAsia="zh-CN"/>
        </w:rPr>
        <w:t xml:space="preserve">in the case of </w:t>
      </w:r>
      <w:r w:rsidR="002333C7" w:rsidRPr="002333C7">
        <w:rPr>
          <w:b/>
          <w:i/>
          <w:smallCaps/>
          <w:lang w:val="en-GB" w:eastAsia="zh-CN"/>
        </w:rPr>
        <w:t>K</w:t>
      </w:r>
      <w:r w:rsidR="002333C7">
        <w:rPr>
          <w:b/>
          <w:i/>
          <w:smallCaps/>
          <w:lang w:val="en-GB" w:eastAsia="zh-CN"/>
        </w:rPr>
        <w:t>=8</w:t>
      </w:r>
      <w:r w:rsidR="002333C7">
        <w:rPr>
          <w:lang w:val="en-GB" w:eastAsia="zh-CN"/>
        </w:rPr>
        <w:t xml:space="preserve"> aperiodic NZP CSI-RS resources</w:t>
      </w:r>
      <w:r w:rsidR="007B38A7">
        <w:rPr>
          <w:lang w:val="en-GB" w:eastAsia="zh-CN"/>
        </w:rPr>
        <w:t>, identifying the transmitted CSI-RS resource combinations</w:t>
      </w:r>
      <w:r w:rsidR="002333C7">
        <w:rPr>
          <w:lang w:val="en-GB" w:eastAsia="zh-CN"/>
        </w:rPr>
        <w:t xml:space="preserve"> requires 7</w:t>
      </w:r>
      <w:r w:rsidR="007B38A7">
        <w:rPr>
          <w:lang w:val="en-GB" w:eastAsia="zh-CN"/>
        </w:rPr>
        <w:t>-8</w:t>
      </w:r>
      <w:r w:rsidR="002333C7">
        <w:rPr>
          <w:lang w:val="en-GB" w:eastAsia="zh-CN"/>
        </w:rPr>
        <w:t xml:space="preserve"> </w:t>
      </w:r>
      <w:r w:rsidR="00DA15B0">
        <w:rPr>
          <w:lang w:val="en-GB" w:eastAsia="zh-CN"/>
        </w:rPr>
        <w:t>DCI</w:t>
      </w:r>
      <w:r w:rsidR="002333C7">
        <w:rPr>
          <w:lang w:val="en-GB" w:eastAsia="zh-CN"/>
        </w:rPr>
        <w:t xml:space="preserve"> bits as discussed above</w:t>
      </w:r>
      <w:r w:rsidR="007B38A7">
        <w:rPr>
          <w:lang w:val="en-GB" w:eastAsia="zh-CN"/>
        </w:rPr>
        <w:t>.</w:t>
      </w:r>
      <w:r w:rsidR="00FB05E4">
        <w:rPr>
          <w:lang w:val="en-GB" w:eastAsia="zh-CN"/>
        </w:rPr>
        <w:t xml:space="preserve"> As observed in</w:t>
      </w:r>
      <w:r w:rsidR="00F259B1">
        <w:rPr>
          <w:lang w:val="en-GB" w:eastAsia="zh-CN"/>
        </w:rPr>
        <w:fldChar w:fldCharType="begin"/>
      </w:r>
      <w:r w:rsidR="00F259B1">
        <w:rPr>
          <w:lang w:val="en-GB" w:eastAsia="zh-CN"/>
        </w:rPr>
        <w:instrText xml:space="preserve"> REF _Ref463033268 \r \h </w:instrText>
      </w:r>
      <w:r w:rsidR="00F259B1">
        <w:rPr>
          <w:lang w:val="en-GB" w:eastAsia="zh-CN"/>
        </w:rPr>
      </w:r>
      <w:r w:rsidR="00F259B1">
        <w:rPr>
          <w:lang w:val="en-GB" w:eastAsia="zh-CN"/>
        </w:rPr>
        <w:fldChar w:fldCharType="separate"/>
      </w:r>
      <w:r w:rsidR="00BB029E">
        <w:rPr>
          <w:lang w:val="en-GB" w:eastAsia="zh-CN"/>
        </w:rPr>
        <w:t>[2]</w:t>
      </w:r>
      <w:r w:rsidR="00F259B1">
        <w:rPr>
          <w:lang w:val="en-GB" w:eastAsia="zh-CN"/>
        </w:rPr>
        <w:fldChar w:fldCharType="end"/>
      </w:r>
      <w:r w:rsidR="00FB05E4">
        <w:rPr>
          <w:lang w:val="en-GB" w:eastAsia="zh-CN"/>
        </w:rPr>
        <w:t>, aperiodic CSI-RS is not suitable for use with CoMP, and so the 2 bits PQI can be used for rate matching.  Therefore</w:t>
      </w:r>
      <w:r w:rsidR="002333C7">
        <w:rPr>
          <w:lang w:val="en-GB" w:eastAsia="zh-CN"/>
        </w:rPr>
        <w:t xml:space="preserve">, </w:t>
      </w:r>
      <w:r w:rsidR="00427D3D">
        <w:rPr>
          <w:lang w:val="en-GB" w:eastAsia="zh-CN"/>
        </w:rPr>
        <w:t>an additional 5</w:t>
      </w:r>
      <w:r w:rsidR="00FB05E4">
        <w:rPr>
          <w:lang w:val="en-GB" w:eastAsia="zh-CN"/>
        </w:rPr>
        <w:t>-6</w:t>
      </w:r>
      <w:r w:rsidR="00427D3D">
        <w:rPr>
          <w:lang w:val="en-GB" w:eastAsia="zh-CN"/>
        </w:rPr>
        <w:t xml:space="preserve"> bits need to be added to the PQI states to fully dynamically indicate which out of the </w:t>
      </w:r>
      <w:r w:rsidR="00427D3D">
        <w:rPr>
          <w:b/>
          <w:i/>
          <w:lang w:val="en-GB" w:eastAsia="zh-CN"/>
        </w:rPr>
        <w:t>K</w:t>
      </w:r>
      <w:r w:rsidR="00427D3D">
        <w:rPr>
          <w:lang w:val="en-GB" w:eastAsia="zh-CN"/>
        </w:rPr>
        <w:t xml:space="preserve"> aperiodic CSI-RS resources are being used in a given subframe.  </w:t>
      </w:r>
    </w:p>
    <w:p w14:paraId="3B934163" w14:textId="05DD2BAC" w:rsidR="00427D3D" w:rsidRPr="002672D9" w:rsidRDefault="00143C60" w:rsidP="00427D3D">
      <w:pPr>
        <w:pStyle w:val="Observation"/>
      </w:pPr>
      <w:bookmarkStart w:id="5" w:name="_Toc463052998"/>
      <w:r w:rsidRPr="002672D9">
        <w:t>Increasing the number of PQ</w:t>
      </w:r>
      <w:r w:rsidR="001D2BCC" w:rsidRPr="002672D9">
        <w:t>I</w:t>
      </w:r>
      <w:r w:rsidRPr="002672D9">
        <w:t xml:space="preserve"> states for TM10 is undesirable </w:t>
      </w:r>
      <w:r w:rsidR="001D2BCC" w:rsidRPr="002672D9">
        <w:t>for</w:t>
      </w:r>
      <w:r w:rsidRPr="002672D9">
        <w:t xml:space="preserve"> </w:t>
      </w:r>
      <w:r w:rsidR="002A37D5" w:rsidRPr="002672D9">
        <w:t>P</w:t>
      </w:r>
      <w:r w:rsidRPr="002672D9">
        <w:t>DSCH rate matching</w:t>
      </w:r>
      <w:r w:rsidR="001D2BCC" w:rsidRPr="002672D9">
        <w:t xml:space="preserve"> </w:t>
      </w:r>
      <w:r w:rsidR="00980A8F" w:rsidRPr="002672D9">
        <w:t xml:space="preserve">resource </w:t>
      </w:r>
      <w:r w:rsidR="001D2BCC" w:rsidRPr="002672D9">
        <w:t>indication</w:t>
      </w:r>
      <w:r w:rsidRPr="002672D9">
        <w:t xml:space="preserve"> since it will require an addit</w:t>
      </w:r>
      <w:r w:rsidR="002A37D5" w:rsidRPr="002672D9">
        <w:t>ional 5</w:t>
      </w:r>
      <w:r w:rsidR="004270BD">
        <w:t>-6</w:t>
      </w:r>
      <w:r w:rsidR="002A37D5" w:rsidRPr="002672D9">
        <w:t xml:space="preserve"> bits to be added to DCI format 2D payload</w:t>
      </w:r>
      <w:r w:rsidR="00427D3D" w:rsidRPr="002672D9">
        <w:t>.</w:t>
      </w:r>
      <w:bookmarkEnd w:id="5"/>
    </w:p>
    <w:p w14:paraId="4A8340CF" w14:textId="518B23E8" w:rsidR="00826BA8" w:rsidRPr="002672D9" w:rsidRDefault="001D2BCC" w:rsidP="002333C7">
      <w:pPr>
        <w:rPr>
          <w:rFonts w:eastAsiaTheme="minorEastAsia"/>
        </w:rPr>
      </w:pPr>
      <w:r w:rsidRPr="002672D9">
        <w:t>Hence, from our viewpoint, Alternative-3 with reuse of the existing four PQI states for PDSCH rate matching</w:t>
      </w:r>
      <w:r w:rsidR="00AC3C74" w:rsidRPr="002672D9">
        <w:t xml:space="preserve"> </w:t>
      </w:r>
      <w:r w:rsidR="00980A8F" w:rsidRPr="002672D9">
        <w:t xml:space="preserve">resource </w:t>
      </w:r>
      <w:r w:rsidR="00AC3C74" w:rsidRPr="002672D9">
        <w:t xml:space="preserve">indication is more desirable.  </w:t>
      </w:r>
      <w:r w:rsidR="00980A8F" w:rsidRPr="002672D9">
        <w:t xml:space="preserve">However, to fit the PDSCH rate matching resource indication information into the 4 existing PQI states, some simplifications are required.  </w:t>
      </w:r>
      <w:r w:rsidR="006E6220" w:rsidRPr="002672D9">
        <w:t>A simple way is to split the</w:t>
      </w:r>
      <w:r w:rsidR="00826BA8" w:rsidRPr="002672D9">
        <w:t xml:space="preserve"> pool of</w:t>
      </w:r>
      <w:r w:rsidR="006E6220" w:rsidRPr="002672D9">
        <w:t xml:space="preserve"> </w:t>
      </w:r>
      <w:r w:rsidR="006E6220" w:rsidRPr="002672D9">
        <w:rPr>
          <w:b/>
          <w:i/>
        </w:rPr>
        <w:t>K</w:t>
      </w:r>
      <w:r w:rsidR="003D1915" w:rsidRPr="002672D9">
        <w:rPr>
          <w:b/>
          <w:i/>
        </w:rPr>
        <w:t xml:space="preserve"> &gt; 1</w:t>
      </w:r>
      <w:r w:rsidR="006E6220" w:rsidRPr="002672D9">
        <w:t xml:space="preserve"> aperiodic NZP CSI-RS resources configured </w:t>
      </w:r>
      <w:r w:rsidR="0081504C" w:rsidRPr="002672D9">
        <w:t xml:space="preserve">into two groups where the first group contains the first </w:t>
      </w:r>
      <m:oMath>
        <m:d>
          <m:dPr>
            <m:begChr m:val="⌈"/>
            <m:endChr m:val="⌉"/>
            <m:ctrlPr>
              <w:rPr>
                <w:rFonts w:ascii="Cambria Math" w:hAnsi="Cambria Math"/>
                <w:i/>
              </w:rPr>
            </m:ctrlPr>
          </m:dPr>
          <m:e>
            <m:r>
              <m:rPr>
                <m:sty m:val="bi"/>
              </m:rPr>
              <w:rPr>
                <w:rFonts w:ascii="Cambria Math" w:hAnsi="Cambria Math"/>
              </w:rPr>
              <m:t>K</m:t>
            </m:r>
            <m:r>
              <w:rPr>
                <w:rFonts w:ascii="Cambria Math" w:hAnsi="Cambria Math"/>
              </w:rPr>
              <m:t>/2</m:t>
            </m:r>
          </m:e>
        </m:d>
      </m:oMath>
      <w:r w:rsidR="003D1915" w:rsidRPr="002672D9">
        <w:rPr>
          <w:rFonts w:eastAsiaTheme="minorEastAsia"/>
        </w:rPr>
        <w:t xml:space="preserve"> </w:t>
      </w:r>
      <w:r w:rsidR="00254380" w:rsidRPr="002672D9">
        <w:rPr>
          <w:rFonts w:eastAsiaTheme="minorEastAsia"/>
        </w:rPr>
        <w:t xml:space="preserve">aperiodic NZP CSI-RS resources and the second group contains the last </w:t>
      </w:r>
      <m:oMath>
        <m:r>
          <m:rPr>
            <m:sty m:val="bi"/>
          </m:rPr>
          <w:rPr>
            <w:rFonts w:ascii="Cambria Math" w:eastAsiaTheme="minorEastAsia" w:hAnsi="Cambria Math"/>
          </w:rPr>
          <m:t>K</m:t>
        </m:r>
        <m:r>
          <w:rPr>
            <w:rFonts w:ascii="Cambria Math" w:eastAsiaTheme="minorEastAsia" w:hAnsi="Cambria Math"/>
          </w:rPr>
          <m:t>-</m:t>
        </m:r>
        <m:d>
          <m:dPr>
            <m:begChr m:val="⌈"/>
            <m:endChr m:val="⌉"/>
            <m:ctrlPr>
              <w:rPr>
                <w:rFonts w:ascii="Cambria Math" w:hAnsi="Cambria Math"/>
                <w:i/>
              </w:rPr>
            </m:ctrlPr>
          </m:dPr>
          <m:e>
            <m:r>
              <m:rPr>
                <m:sty m:val="bi"/>
              </m:rPr>
              <w:rPr>
                <w:rFonts w:ascii="Cambria Math" w:hAnsi="Cambria Math"/>
              </w:rPr>
              <m:t>K</m:t>
            </m:r>
            <m:r>
              <w:rPr>
                <w:rFonts w:ascii="Cambria Math" w:hAnsi="Cambria Math"/>
              </w:rPr>
              <m:t>/2</m:t>
            </m:r>
          </m:e>
        </m:d>
      </m:oMath>
      <w:r w:rsidR="00254380" w:rsidRPr="002672D9">
        <w:rPr>
          <w:rFonts w:eastAsiaTheme="minorEastAsia"/>
        </w:rPr>
        <w:t xml:space="preserve">  </w:t>
      </w:r>
      <w:r w:rsidR="00826BA8" w:rsidRPr="002672D9">
        <w:rPr>
          <w:rFonts w:eastAsiaTheme="minorEastAsia"/>
        </w:rPr>
        <w:t>aperiodic NZP CSI-RS resources.  Then the four existing PQI states can be used to indicate PDSCH rate matching in a given subframe where</w:t>
      </w:r>
    </w:p>
    <w:p w14:paraId="7D4700EA" w14:textId="6C71EEBF" w:rsidR="00826BA8" w:rsidRPr="002672D9" w:rsidRDefault="00826BA8" w:rsidP="00826BA8">
      <w:pPr>
        <w:pStyle w:val="ListParagraph"/>
        <w:numPr>
          <w:ilvl w:val="0"/>
          <w:numId w:val="35"/>
        </w:numPr>
        <w:rPr>
          <w:rFonts w:eastAsiaTheme="minorEastAsia"/>
        </w:rPr>
      </w:pPr>
      <w:r w:rsidRPr="002672D9">
        <w:rPr>
          <w:rFonts w:eastAsiaTheme="minorEastAsia"/>
        </w:rPr>
        <w:lastRenderedPageBreak/>
        <w:t xml:space="preserve">One of the four states </w:t>
      </w:r>
      <w:r w:rsidR="00D24C08" w:rsidRPr="002672D9">
        <w:rPr>
          <w:rFonts w:eastAsiaTheme="minorEastAsia"/>
        </w:rPr>
        <w:t>indicate</w:t>
      </w:r>
      <w:r w:rsidRPr="002672D9">
        <w:rPr>
          <w:rFonts w:eastAsiaTheme="minorEastAsia"/>
        </w:rPr>
        <w:t xml:space="preserve"> no aperiodic CSI-RS transmission on any of the </w:t>
      </w:r>
      <w:r w:rsidRPr="002672D9">
        <w:rPr>
          <w:rFonts w:eastAsiaTheme="minorEastAsia"/>
          <w:b/>
          <w:i/>
        </w:rPr>
        <w:t>K</w:t>
      </w:r>
      <w:r w:rsidRPr="002672D9">
        <w:rPr>
          <w:rFonts w:eastAsiaTheme="minorEastAsia"/>
        </w:rPr>
        <w:t xml:space="preserve"> resources.</w:t>
      </w:r>
    </w:p>
    <w:p w14:paraId="1B40B165" w14:textId="7E5A4E44" w:rsidR="00826BA8" w:rsidRPr="002672D9" w:rsidRDefault="00826BA8" w:rsidP="00826BA8">
      <w:pPr>
        <w:pStyle w:val="ListParagraph"/>
        <w:numPr>
          <w:ilvl w:val="0"/>
          <w:numId w:val="35"/>
        </w:numPr>
        <w:rPr>
          <w:rFonts w:eastAsiaTheme="minorEastAsia"/>
        </w:rPr>
      </w:pPr>
      <w:r w:rsidRPr="002672D9">
        <w:rPr>
          <w:rFonts w:eastAsiaTheme="minorEastAsia"/>
        </w:rPr>
        <w:t>A second state indicates that at least one of the aperiodic CSI-RS resources in the first group is being used for aperiodic CSI-RS transmission.</w:t>
      </w:r>
    </w:p>
    <w:p w14:paraId="55C3924A" w14:textId="0FA61891" w:rsidR="00826BA8" w:rsidRPr="002672D9" w:rsidRDefault="00826BA8" w:rsidP="00826BA8">
      <w:pPr>
        <w:pStyle w:val="ListParagraph"/>
        <w:numPr>
          <w:ilvl w:val="0"/>
          <w:numId w:val="35"/>
        </w:numPr>
        <w:rPr>
          <w:rFonts w:eastAsiaTheme="minorEastAsia"/>
        </w:rPr>
      </w:pPr>
      <w:r w:rsidRPr="002672D9">
        <w:rPr>
          <w:rFonts w:eastAsiaTheme="minorEastAsia"/>
        </w:rPr>
        <w:t>A third state indicates that at least one of the aperiodic CSI-RS resources in the second group is being used for aperiodic CSI-RS transmission.</w:t>
      </w:r>
    </w:p>
    <w:p w14:paraId="72091A76" w14:textId="5996F977" w:rsidR="00445AD8" w:rsidRPr="002672D9" w:rsidRDefault="00445AD8" w:rsidP="00826BA8">
      <w:pPr>
        <w:pStyle w:val="ListParagraph"/>
        <w:numPr>
          <w:ilvl w:val="0"/>
          <w:numId w:val="35"/>
        </w:numPr>
        <w:rPr>
          <w:rFonts w:eastAsiaTheme="minorEastAsia"/>
        </w:rPr>
      </w:pPr>
      <w:r w:rsidRPr="002672D9">
        <w:rPr>
          <w:rFonts w:eastAsiaTheme="minorEastAsia"/>
        </w:rPr>
        <w:t xml:space="preserve">A fourth state indicates that both groups have at least one aperiodic CSI-RS resource being used for aperiodic CSI-RS transmission. </w:t>
      </w:r>
    </w:p>
    <w:p w14:paraId="39F9D093" w14:textId="638FFCD9" w:rsidR="002333C7" w:rsidRPr="002672D9" w:rsidRDefault="00445AD8" w:rsidP="002333C7">
      <w:r w:rsidRPr="002672D9">
        <w:rPr>
          <w:rFonts w:eastAsiaTheme="minorEastAsia"/>
        </w:rPr>
        <w:t xml:space="preserve">If one of the groups is being used for aperiodic CSI-RS transmission, then the UE will rate match PDSCH around the whole group of aperiodic CSI-RS resources.  If both groups are being used for aperiodic CSI-RS transmission, then the UE will rate match PDSCH around the whole pool of </w:t>
      </w:r>
      <w:r w:rsidRPr="002672D9">
        <w:rPr>
          <w:rFonts w:eastAsiaTheme="minorEastAsia"/>
          <w:b/>
          <w:i/>
        </w:rPr>
        <w:t>K</w:t>
      </w:r>
      <w:r w:rsidRPr="002672D9">
        <w:rPr>
          <w:rFonts w:eastAsiaTheme="minorEastAsia"/>
        </w:rPr>
        <w:t xml:space="preserve"> aperiodic CSI-RS </w:t>
      </w:r>
      <w:r w:rsidR="00FD0F11" w:rsidRPr="002672D9">
        <w:rPr>
          <w:rFonts w:eastAsiaTheme="minorEastAsia"/>
        </w:rPr>
        <w:t>resources</w:t>
      </w:r>
      <w:r w:rsidRPr="002672D9">
        <w:rPr>
          <w:rFonts w:eastAsiaTheme="minorEastAsia"/>
        </w:rPr>
        <w:t>.</w:t>
      </w:r>
      <w:r w:rsidR="00FD0F11" w:rsidRPr="002672D9">
        <w:rPr>
          <w:rFonts w:eastAsiaTheme="minorEastAsia"/>
        </w:rPr>
        <w:t xml:space="preserve">  </w:t>
      </w:r>
      <w:r w:rsidR="00826BA8" w:rsidRPr="002672D9">
        <w:rPr>
          <w:rFonts w:eastAsiaTheme="minorEastAsia"/>
        </w:rPr>
        <w:t>An example of such a</w:t>
      </w:r>
      <w:r w:rsidR="000A1D6A" w:rsidRPr="002672D9">
        <w:rPr>
          <w:rFonts w:eastAsiaTheme="minorEastAsia"/>
        </w:rPr>
        <w:t xml:space="preserve"> dynamic</w:t>
      </w:r>
      <w:r w:rsidR="00826BA8" w:rsidRPr="002672D9">
        <w:rPr>
          <w:rFonts w:eastAsiaTheme="minorEastAsia"/>
        </w:rPr>
        <w:t xml:space="preserve"> half pool resource indication approach </w:t>
      </w:r>
      <w:r w:rsidR="006664E7" w:rsidRPr="002672D9">
        <w:rPr>
          <w:rFonts w:eastAsiaTheme="minorEastAsia"/>
        </w:rPr>
        <w:t xml:space="preserve">with </w:t>
      </w:r>
      <w:r w:rsidR="006664E7" w:rsidRPr="002672D9">
        <w:rPr>
          <w:rFonts w:eastAsiaTheme="minorEastAsia"/>
          <w:b/>
          <w:i/>
        </w:rPr>
        <w:t>K=</w:t>
      </w:r>
      <w:r w:rsidR="006664E7" w:rsidRPr="002672D9">
        <w:rPr>
          <w:rFonts w:eastAsiaTheme="minorEastAsia"/>
        </w:rPr>
        <w:t xml:space="preserve">8 </w:t>
      </w:r>
      <w:r w:rsidR="00826BA8" w:rsidRPr="002672D9">
        <w:rPr>
          <w:rFonts w:eastAsiaTheme="minorEastAsia"/>
        </w:rPr>
        <w:t xml:space="preserve">is </w:t>
      </w:r>
      <w:r w:rsidR="006664E7" w:rsidRPr="002672D9">
        <w:rPr>
          <w:rFonts w:eastAsiaTheme="minorEastAsia"/>
        </w:rPr>
        <w:t xml:space="preserve">shown in </w:t>
      </w:r>
      <w:r w:rsidR="00153A82">
        <w:rPr>
          <w:rFonts w:eastAsiaTheme="minorEastAsia"/>
        </w:rPr>
        <w:fldChar w:fldCharType="begin"/>
      </w:r>
      <w:r w:rsidR="00153A82" w:rsidRPr="002672D9">
        <w:rPr>
          <w:rFonts w:eastAsiaTheme="minorEastAsia"/>
        </w:rPr>
        <w:instrText xml:space="preserve"> REF _Ref462614955 \h </w:instrText>
      </w:r>
      <w:r w:rsidR="00153A82">
        <w:rPr>
          <w:rFonts w:eastAsiaTheme="minorEastAsia"/>
        </w:rPr>
      </w:r>
      <w:r w:rsidR="00153A82">
        <w:rPr>
          <w:rFonts w:eastAsiaTheme="minorEastAsia"/>
        </w:rPr>
        <w:fldChar w:fldCharType="separate"/>
      </w:r>
      <w:r w:rsidR="00BB029E" w:rsidRPr="002672D9">
        <w:t xml:space="preserve">Figure </w:t>
      </w:r>
      <w:r w:rsidR="00BB029E">
        <w:rPr>
          <w:noProof/>
        </w:rPr>
        <w:t>1</w:t>
      </w:r>
      <w:r w:rsidR="00153A82">
        <w:rPr>
          <w:rFonts w:eastAsiaTheme="minorEastAsia"/>
        </w:rPr>
        <w:fldChar w:fldCharType="end"/>
      </w:r>
      <w:r w:rsidR="00153A82" w:rsidRPr="002672D9">
        <w:rPr>
          <w:rFonts w:eastAsiaTheme="minorEastAsia"/>
        </w:rPr>
        <w:t>.</w:t>
      </w:r>
    </w:p>
    <w:p w14:paraId="175A7A85" w14:textId="48A9C15B" w:rsidR="003742AC" w:rsidRDefault="00153A82" w:rsidP="00153A82">
      <w:pPr>
        <w:jc w:val="center"/>
      </w:pPr>
      <w:r>
        <w:rPr>
          <w:noProof/>
        </w:rPr>
        <w:drawing>
          <wp:inline distT="0" distB="0" distL="0" distR="0" wp14:anchorId="336B8D29" wp14:editId="40133FAD">
            <wp:extent cx="2905125" cy="169545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905125" cy="1695450"/>
                    </a:xfrm>
                    <a:prstGeom prst="rect">
                      <a:avLst/>
                    </a:prstGeom>
                  </pic:spPr>
                </pic:pic>
              </a:graphicData>
            </a:graphic>
          </wp:inline>
        </w:drawing>
      </w:r>
    </w:p>
    <w:p w14:paraId="22A909C2" w14:textId="7F5F1FFF" w:rsidR="00153A82" w:rsidRPr="002672D9" w:rsidRDefault="00153A82" w:rsidP="00153A82">
      <w:pPr>
        <w:pStyle w:val="Caption"/>
        <w:rPr>
          <w:i/>
        </w:rPr>
      </w:pPr>
      <w:bookmarkStart w:id="6" w:name="_Ref462614955"/>
      <w:r w:rsidRPr="002672D9">
        <w:t xml:space="preserve">Figure </w:t>
      </w:r>
      <w:r>
        <w:fldChar w:fldCharType="begin"/>
      </w:r>
      <w:r w:rsidRPr="002672D9">
        <w:instrText xml:space="preserve"> SEQ Figure \* ARABIC </w:instrText>
      </w:r>
      <w:r>
        <w:fldChar w:fldCharType="separate"/>
      </w:r>
      <w:r w:rsidR="00BB029E">
        <w:rPr>
          <w:noProof/>
        </w:rPr>
        <w:t>1</w:t>
      </w:r>
      <w:r>
        <w:fldChar w:fldCharType="end"/>
      </w:r>
      <w:bookmarkEnd w:id="6"/>
      <w:r w:rsidRPr="002672D9">
        <w:t xml:space="preserve">.  An example of </w:t>
      </w:r>
      <w:r w:rsidR="000A1D6A" w:rsidRPr="002672D9">
        <w:t xml:space="preserve">dynamic </w:t>
      </w:r>
      <w:r w:rsidRPr="002672D9">
        <w:t xml:space="preserve">half pool resource indication approach with </w:t>
      </w:r>
      <w:r w:rsidRPr="002672D9">
        <w:rPr>
          <w:i/>
        </w:rPr>
        <w:t>K=8</w:t>
      </w:r>
    </w:p>
    <w:p w14:paraId="6035DFC9" w14:textId="7BBE0A6C" w:rsidR="00FB05E4" w:rsidRPr="002F1180" w:rsidRDefault="00FB05E4" w:rsidP="002F1180">
      <w:pPr>
        <w:pStyle w:val="BodyText"/>
      </w:pPr>
    </w:p>
    <w:p w14:paraId="50740E60" w14:textId="4F9A3B5A" w:rsidR="00767002" w:rsidRDefault="00767002" w:rsidP="00767002">
      <w:pPr>
        <w:pStyle w:val="Heading1"/>
      </w:pPr>
      <w:r>
        <w:t>Overhead Comparison</w:t>
      </w:r>
    </w:p>
    <w:p w14:paraId="210D25AF" w14:textId="1E571764" w:rsidR="00153A82" w:rsidRPr="002672D9" w:rsidRDefault="00767002" w:rsidP="00153A82">
      <w:r w:rsidRPr="002672D9">
        <w:t xml:space="preserve">In this section, we compare the data overhead associated with fully dynamically indicating PDSCH rate matching information to that of the </w:t>
      </w:r>
      <w:r w:rsidR="000A1D6A" w:rsidRPr="002672D9">
        <w:t xml:space="preserve">dynamic </w:t>
      </w:r>
      <w:r w:rsidRPr="002672D9">
        <w:t xml:space="preserve">half pool resource indication approach described in the previous section.  The fully dynamic indication of PDSCH rate matching information corresponds to Alternative-1, Alternative-2, and Alternative-3 with increased number of PQI states.  The </w:t>
      </w:r>
      <w:r w:rsidR="000A1D6A" w:rsidRPr="002672D9">
        <w:t xml:space="preserve">dynamic </w:t>
      </w:r>
      <w:r w:rsidRPr="002672D9">
        <w:t>half pool resource indication approach corresponds to Alternative-3 with reusing the existing PQI states.</w:t>
      </w:r>
    </w:p>
    <w:p w14:paraId="4EB02FCE" w14:textId="5530C7F2" w:rsidR="00767002" w:rsidRPr="002672D9" w:rsidRDefault="000D0791" w:rsidP="00153A82">
      <w:r w:rsidRPr="002672D9">
        <w:t xml:space="preserve">A comparison of the overhead associated with fully dynamically indicating PDSCH rate matching information to that of </w:t>
      </w:r>
      <w:r w:rsidR="000A1D6A" w:rsidRPr="002672D9">
        <w:t xml:space="preserve">dynamic </w:t>
      </w:r>
      <w:r w:rsidRPr="002672D9">
        <w:t xml:space="preserve">half pool resource indication approach for the case of </w:t>
      </w:r>
      <w:r w:rsidRPr="002672D9">
        <w:rPr>
          <w:b/>
          <w:i/>
        </w:rPr>
        <w:t>K=8</w:t>
      </w:r>
      <w:r w:rsidRPr="002672D9">
        <w:t xml:space="preserve"> is shown in </w:t>
      </w:r>
      <w:r w:rsidR="004F406A">
        <w:fldChar w:fldCharType="begin"/>
      </w:r>
      <w:r w:rsidR="004F406A" w:rsidRPr="002672D9">
        <w:instrText xml:space="preserve"> REF _Ref462616311 \h </w:instrText>
      </w:r>
      <w:r w:rsidR="004F406A">
        <w:fldChar w:fldCharType="separate"/>
      </w:r>
      <w:r w:rsidR="00BB029E" w:rsidRPr="002672D9">
        <w:t xml:space="preserve">Figure </w:t>
      </w:r>
      <w:r w:rsidR="00BB029E">
        <w:rPr>
          <w:noProof/>
        </w:rPr>
        <w:t>2</w:t>
      </w:r>
      <w:r w:rsidR="004F406A">
        <w:fldChar w:fldCharType="end"/>
      </w:r>
      <w:r w:rsidRPr="002672D9">
        <w:t xml:space="preserve">.  </w:t>
      </w:r>
      <w:r w:rsidR="00D667A6">
        <w:t xml:space="preserve">Note that this use of K=8 is somewhat of an upper bound; the impact of smaller K values on performance is FFS.  </w:t>
      </w:r>
      <w:r w:rsidRPr="002672D9">
        <w:t>These results are generated using a FTP traffic model 1 with a packet size of 500 kilobytes</w:t>
      </w:r>
      <w:r w:rsidR="004F406A" w:rsidRPr="002672D9">
        <w:t xml:space="preserve"> and the average number of active UEs per TTI is shown in the abscissa.  The overhead associated with the case when periodic CSI-RS is utilized is also shown for reference.  Two ports per aperiodic CSI-RS is assumed.</w:t>
      </w:r>
    </w:p>
    <w:p w14:paraId="3B9FC523" w14:textId="0B402854" w:rsidR="00767002" w:rsidRPr="002672D9" w:rsidRDefault="004F406A" w:rsidP="00153A82">
      <w:r w:rsidRPr="002672D9">
        <w:lastRenderedPageBreak/>
        <w:t xml:space="preserve">From </w:t>
      </w:r>
      <w:r>
        <w:fldChar w:fldCharType="begin"/>
      </w:r>
      <w:r w:rsidRPr="002672D9">
        <w:instrText xml:space="preserve"> REF _Ref462616311 \h </w:instrText>
      </w:r>
      <w:r>
        <w:fldChar w:fldCharType="separate"/>
      </w:r>
      <w:r w:rsidR="00BB029E" w:rsidRPr="002672D9">
        <w:t xml:space="preserve">Figure </w:t>
      </w:r>
      <w:r w:rsidR="00BB029E">
        <w:rPr>
          <w:noProof/>
        </w:rPr>
        <w:t>2</w:t>
      </w:r>
      <w:r>
        <w:fldChar w:fldCharType="end"/>
      </w:r>
      <w:r w:rsidRPr="002672D9">
        <w:t>, it is evident that in the high load case</w:t>
      </w:r>
      <w:r w:rsidR="00A935CF" w:rsidRPr="002672D9">
        <w:t xml:space="preserve"> (</w:t>
      </w:r>
      <w:r w:rsidRPr="002672D9">
        <w:t xml:space="preserve">which is </w:t>
      </w:r>
      <w:r w:rsidR="00A935CF" w:rsidRPr="002672D9">
        <w:t>where the use of</w:t>
      </w:r>
      <w:r w:rsidRPr="002672D9">
        <w:t xml:space="preserve"> aperiodic CSI-RS </w:t>
      </w:r>
      <w:r w:rsidR="00A935CF" w:rsidRPr="002672D9">
        <w:t xml:space="preserve">provides meaningful overhead savings over the use of periodic CSI-RS), fully dynamic indication of PDSCH rate matching information achieves only about 2-4 % overhead savings over dynamic half pool resource indication for PDSCH rate matching.  The overhead savings of fully dynamic indication of PDSCH rate matching information over the cases of dynamic half pool resource indication and periodic CSI-RS are summarized in </w:t>
      </w:r>
      <w:r w:rsidR="00C447F6">
        <w:fldChar w:fldCharType="begin"/>
      </w:r>
      <w:r w:rsidR="00C447F6" w:rsidRPr="002672D9">
        <w:instrText xml:space="preserve"> REF _Ref462617717 \h </w:instrText>
      </w:r>
      <w:r w:rsidR="00C447F6">
        <w:fldChar w:fldCharType="separate"/>
      </w:r>
      <w:r w:rsidR="00BB029E" w:rsidRPr="002672D9">
        <w:t xml:space="preserve">Figure </w:t>
      </w:r>
      <w:r w:rsidR="00BB029E">
        <w:rPr>
          <w:noProof/>
        </w:rPr>
        <w:t>3</w:t>
      </w:r>
      <w:r w:rsidR="00C447F6">
        <w:fldChar w:fldCharType="end"/>
      </w:r>
      <w:r w:rsidR="00A935CF" w:rsidRPr="002672D9">
        <w:t>.</w:t>
      </w:r>
    </w:p>
    <w:p w14:paraId="7F672922" w14:textId="02615E83" w:rsidR="004F406A" w:rsidRPr="002672D9" w:rsidRDefault="004F406A" w:rsidP="00153A82"/>
    <w:p w14:paraId="2B8147BE" w14:textId="5A771C41" w:rsidR="000D0791" w:rsidRDefault="000D0791" w:rsidP="00153A82">
      <w:r>
        <w:rPr>
          <w:noProof/>
        </w:rPr>
        <w:drawing>
          <wp:inline distT="0" distB="0" distL="0" distR="0" wp14:anchorId="491952D7" wp14:editId="515715AD">
            <wp:extent cx="5943600" cy="3645535"/>
            <wp:effectExtent l="0" t="0" r="0" b="12065"/>
            <wp:docPr id="3" name="Chart 3"/>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2683CD1F" w14:textId="10C37F2B" w:rsidR="000D0791" w:rsidRPr="002672D9" w:rsidRDefault="000A1D6A" w:rsidP="000A1D6A">
      <w:pPr>
        <w:pStyle w:val="Caption"/>
      </w:pPr>
      <w:bookmarkStart w:id="7" w:name="_Ref462616311"/>
      <w:r w:rsidRPr="002672D9">
        <w:t xml:space="preserve">Figure </w:t>
      </w:r>
      <w:r>
        <w:fldChar w:fldCharType="begin"/>
      </w:r>
      <w:r w:rsidRPr="002672D9">
        <w:instrText xml:space="preserve"> SEQ Figure \* ARABIC </w:instrText>
      </w:r>
      <w:r>
        <w:fldChar w:fldCharType="separate"/>
      </w:r>
      <w:r w:rsidR="00BB029E">
        <w:rPr>
          <w:noProof/>
        </w:rPr>
        <w:t>2</w:t>
      </w:r>
      <w:r>
        <w:fldChar w:fldCharType="end"/>
      </w:r>
      <w:bookmarkEnd w:id="7"/>
      <w:r w:rsidRPr="002672D9">
        <w:t>.  Overhead comparison between fully dynamic and dynamic half pool resource indication</w:t>
      </w:r>
    </w:p>
    <w:p w14:paraId="6BD4D2CD" w14:textId="1AD330BA" w:rsidR="000D0791" w:rsidRPr="002672D9" w:rsidRDefault="000D0791" w:rsidP="00153A82"/>
    <w:p w14:paraId="5F3B1D95" w14:textId="5AB36DFB" w:rsidR="00A935CF" w:rsidRDefault="00A935CF" w:rsidP="00A935CF">
      <w:r>
        <w:rPr>
          <w:noProof/>
        </w:rPr>
        <w:lastRenderedPageBreak/>
        <w:drawing>
          <wp:inline distT="0" distB="0" distL="0" distR="0" wp14:anchorId="308F1618" wp14:editId="29942E1A">
            <wp:extent cx="5943600" cy="3669665"/>
            <wp:effectExtent l="0" t="0" r="0" b="6985"/>
            <wp:docPr id="7" name="Chart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79EAC773" w14:textId="63523679" w:rsidR="00A935CF" w:rsidRPr="002672D9" w:rsidRDefault="00A935CF" w:rsidP="00A935CF">
      <w:pPr>
        <w:pStyle w:val="Caption"/>
      </w:pPr>
      <w:bookmarkStart w:id="8" w:name="_Ref462617717"/>
      <w:r w:rsidRPr="002672D9">
        <w:t xml:space="preserve">Figure </w:t>
      </w:r>
      <w:r>
        <w:fldChar w:fldCharType="begin"/>
      </w:r>
      <w:r w:rsidRPr="002672D9">
        <w:instrText xml:space="preserve"> SEQ Figure \* ARABIC </w:instrText>
      </w:r>
      <w:r>
        <w:fldChar w:fldCharType="separate"/>
      </w:r>
      <w:r w:rsidR="00BB029E">
        <w:rPr>
          <w:noProof/>
        </w:rPr>
        <w:t>3</w:t>
      </w:r>
      <w:r>
        <w:fldChar w:fldCharType="end"/>
      </w:r>
      <w:bookmarkEnd w:id="8"/>
      <w:r w:rsidRPr="002672D9">
        <w:t>.  Overhead savings of fully dynamic resource indication</w:t>
      </w:r>
    </w:p>
    <w:p w14:paraId="33011B53" w14:textId="3BE62BD3" w:rsidR="00A935CF" w:rsidRPr="002672D9" w:rsidRDefault="00A935CF" w:rsidP="00153A82">
      <w:r w:rsidRPr="002672D9">
        <w:t>Given the small overhead savings of 2-4 % achieved by fully dynamic resource indication over dynamic half pool resource indication, adding more bits</w:t>
      </w:r>
      <w:r w:rsidR="00C447F6" w:rsidRPr="002672D9">
        <w:t xml:space="preserve"> to DCI is not justified.  Hence, we propose that Alternative-3 with the reuse of existing PQI states combined with dynamic half pool resource indication be specified for PDSCH rate matching in Rel-14 eFD-MIMO.</w:t>
      </w:r>
    </w:p>
    <w:p w14:paraId="19397479" w14:textId="3D54F82D" w:rsidR="00C447F6" w:rsidRPr="002672D9" w:rsidRDefault="00C447F6" w:rsidP="00C447F6">
      <w:pPr>
        <w:pStyle w:val="Observation"/>
      </w:pPr>
      <w:bookmarkStart w:id="9" w:name="_Toc463052999"/>
      <w:r w:rsidRPr="002672D9">
        <w:t>Only small overhead savings of 2-4 % are achieved by fully dynamic resource indication over dynamic half pool resource indication</w:t>
      </w:r>
      <w:r w:rsidR="00C8259E" w:rsidRPr="002672D9">
        <w:t xml:space="preserve"> for PDSCH rate matching</w:t>
      </w:r>
      <w:r w:rsidRPr="002672D9">
        <w:t>.</w:t>
      </w:r>
      <w:bookmarkEnd w:id="9"/>
    </w:p>
    <w:p w14:paraId="523BE708" w14:textId="28ECCE08" w:rsidR="003D4B0C" w:rsidRPr="002672D9" w:rsidRDefault="00EE1C4E" w:rsidP="003D4B0C">
      <w:pPr>
        <w:pStyle w:val="Proposal"/>
        <w:rPr>
          <w:rFonts w:eastAsiaTheme="minorEastAsia"/>
          <w:noProof/>
        </w:rPr>
      </w:pPr>
      <w:bookmarkStart w:id="10" w:name="_Toc462190353"/>
      <w:bookmarkStart w:id="11" w:name="_Toc462605103"/>
      <w:bookmarkStart w:id="12" w:name="_Toc462605899"/>
      <w:bookmarkStart w:id="13" w:name="_Toc462606882"/>
      <w:bookmarkStart w:id="14" w:name="_Toc462607574"/>
      <w:bookmarkStart w:id="15" w:name="_Toc462609587"/>
      <w:bookmarkStart w:id="16" w:name="_Toc462609636"/>
      <w:bookmarkStart w:id="17" w:name="_Toc462616930"/>
      <w:bookmarkStart w:id="18" w:name="_Toc462617838"/>
      <w:bookmarkStart w:id="19" w:name="_Toc462618161"/>
      <w:bookmarkStart w:id="20" w:name="_Toc462619612"/>
      <w:bookmarkStart w:id="21" w:name="_Toc463018617"/>
      <w:bookmarkStart w:id="22" w:name="_Toc463020369"/>
      <w:bookmarkStart w:id="23" w:name="_Toc463053000"/>
      <w:r>
        <w:t xml:space="preserve">If PQI states are used for aperiodic CSI-RS rate matching, </w:t>
      </w:r>
      <w:r w:rsidR="00C447F6" w:rsidRPr="002672D9">
        <w:t xml:space="preserve">existing PQI states combined with dynamic half pool resource indication </w:t>
      </w:r>
      <w:r w:rsidR="005D6A5F" w:rsidRPr="002672D9">
        <w:t xml:space="preserve">should </w:t>
      </w:r>
      <w:r w:rsidR="00C447F6" w:rsidRPr="002672D9">
        <w:t>be specified</w:t>
      </w:r>
      <w:r>
        <w:t xml:space="preserve"> for TM10</w:t>
      </w:r>
      <w:r w:rsidR="003D4B0C" w:rsidRPr="002672D9">
        <w:rPr>
          <w:noProof/>
        </w:rPr>
        <w:t>.</w:t>
      </w:r>
      <w:bookmarkEnd w:id="10"/>
      <w:bookmarkEnd w:id="11"/>
      <w:bookmarkEnd w:id="12"/>
      <w:bookmarkEnd w:id="13"/>
      <w:bookmarkEnd w:id="14"/>
      <w:bookmarkEnd w:id="15"/>
      <w:bookmarkEnd w:id="16"/>
      <w:bookmarkEnd w:id="17"/>
      <w:bookmarkEnd w:id="18"/>
      <w:bookmarkEnd w:id="19"/>
      <w:bookmarkEnd w:id="20"/>
      <w:bookmarkEnd w:id="21"/>
      <w:bookmarkEnd w:id="22"/>
      <w:bookmarkEnd w:id="23"/>
    </w:p>
    <w:p w14:paraId="16C016C8" w14:textId="706B1554" w:rsidR="003D4B0C" w:rsidRPr="002672D9" w:rsidRDefault="003D4B0C" w:rsidP="006E062C"/>
    <w:p w14:paraId="2B3B37B1" w14:textId="45D2E3A8" w:rsidR="00C8259E" w:rsidRPr="00C8259E" w:rsidRDefault="00C8259E" w:rsidP="00C8259E">
      <w:pPr>
        <w:pStyle w:val="Heading1"/>
      </w:pPr>
      <w:r w:rsidRPr="00C8259E">
        <w:t>C</w:t>
      </w:r>
      <w:r>
        <w:t>ollision between EPDCCH RE and Aperiodic CSI-RS</w:t>
      </w:r>
    </w:p>
    <w:p w14:paraId="571E268F" w14:textId="78E51449" w:rsidR="00C8259E" w:rsidRPr="002672D9" w:rsidRDefault="005D6A5F" w:rsidP="006E062C">
      <w:r w:rsidRPr="002672D9">
        <w:t>In RAN1#86, the issue of collision between EPDCCH REs and aperiodic CSI-RS was discuss</w:t>
      </w:r>
      <w:r w:rsidR="00640811" w:rsidRPr="002672D9">
        <w:t xml:space="preserve">ed.  One solution that was discussed is that the EPDCCH REs are punctured when aperiodic CSI-RS is transmitted.   A major drawback with this approach is that the number of REs used for aperiodic CSI-RS depends on the load conditions and the number of </w:t>
      </w:r>
      <w:r w:rsidR="001559EF">
        <w:t xml:space="preserve">active </w:t>
      </w:r>
      <w:r w:rsidR="00640811" w:rsidRPr="002672D9">
        <w:t xml:space="preserve">UEs.  Under high load conditions where aperiodic CSI-RS gives the most gains over periodic CSI-RS, the number of REs used for aperiodic CSI-RS could be high.  If EPDCCH is punctured on a large number of REs, the performance of EPDCCH will be significantly </w:t>
      </w:r>
      <w:r w:rsidR="00640811" w:rsidRPr="002672D9">
        <w:lastRenderedPageBreak/>
        <w:t xml:space="preserve">degraded.  Hence, we propose that EPDCCH REs should not be punctured </w:t>
      </w:r>
      <w:r w:rsidR="001559EF">
        <w:t>when</w:t>
      </w:r>
      <w:r w:rsidR="001559EF" w:rsidRPr="002672D9">
        <w:t xml:space="preserve"> </w:t>
      </w:r>
      <w:r w:rsidR="00640811" w:rsidRPr="002672D9">
        <w:t>aperiodic CSI-RS is transmitted.</w:t>
      </w:r>
    </w:p>
    <w:p w14:paraId="53D5A1D7" w14:textId="07481F72" w:rsidR="00B458C3" w:rsidRPr="002672D9" w:rsidRDefault="00B458C3" w:rsidP="00B458C3">
      <w:pPr>
        <w:pStyle w:val="Proposal"/>
        <w:rPr>
          <w:rFonts w:eastAsiaTheme="minorEastAsia"/>
          <w:noProof/>
        </w:rPr>
      </w:pPr>
      <w:bookmarkStart w:id="24" w:name="_Toc462619613"/>
      <w:bookmarkStart w:id="25" w:name="_Toc463018618"/>
      <w:bookmarkStart w:id="26" w:name="_Toc463020370"/>
      <w:bookmarkStart w:id="27" w:name="_Toc463053001"/>
      <w:r w:rsidRPr="002672D9">
        <w:t>EPDCCH REs should not be punctured with aperiodic CSI-RS</w:t>
      </w:r>
      <w:r w:rsidRPr="002672D9">
        <w:rPr>
          <w:noProof/>
        </w:rPr>
        <w:t>.</w:t>
      </w:r>
      <w:bookmarkEnd w:id="24"/>
      <w:bookmarkEnd w:id="25"/>
      <w:bookmarkEnd w:id="26"/>
      <w:bookmarkEnd w:id="27"/>
    </w:p>
    <w:p w14:paraId="3A77E313" w14:textId="77777777" w:rsidR="001E26C0" w:rsidRPr="002672D9" w:rsidRDefault="001E26C0" w:rsidP="006E062C"/>
    <w:p w14:paraId="051AF1FF" w14:textId="77777777" w:rsidR="00C01F33" w:rsidRPr="001A05FA" w:rsidRDefault="00C01F33" w:rsidP="00CE0424">
      <w:pPr>
        <w:pStyle w:val="Heading1"/>
      </w:pPr>
      <w:r w:rsidRPr="001A05FA">
        <w:t>Conclusion</w:t>
      </w:r>
      <w:r w:rsidR="00C3353A" w:rsidRPr="001A05FA">
        <w:t>s</w:t>
      </w:r>
    </w:p>
    <w:p w14:paraId="42D5E8E3" w14:textId="0F139FA7" w:rsidR="00C978A5" w:rsidRPr="006237D9" w:rsidRDefault="001A05FA" w:rsidP="00311702">
      <w:r w:rsidRPr="002672D9">
        <w:t>In this contribution, we present our views on the above three alternatives related to PDSCH rate matching and the issue of collision between EPDCCH RE and aperiodic CSI-RS.</w:t>
      </w:r>
      <w:r w:rsidR="00C978A5" w:rsidRPr="002672D9">
        <w:t xml:space="preserve">  </w:t>
      </w:r>
      <w:r w:rsidR="00C978A5" w:rsidRPr="001A05FA">
        <w:t>Based on the discussion, we made the following observations:</w:t>
      </w:r>
    </w:p>
    <w:p w14:paraId="4D396878" w14:textId="6A8386C8" w:rsidR="00BB029E" w:rsidRDefault="00E5689D">
      <w:pPr>
        <w:pStyle w:val="TOC1"/>
        <w:rPr>
          <w:rFonts w:asciiTheme="minorHAnsi" w:eastAsiaTheme="minorEastAsia" w:hAnsiTheme="minorHAnsi" w:cstheme="minorBidi"/>
          <w:b w:val="0"/>
          <w:sz w:val="22"/>
          <w:lang w:eastAsia="en-US"/>
        </w:rPr>
      </w:pPr>
      <w:r w:rsidRPr="00FC2864">
        <w:rPr>
          <w:bCs/>
          <w:color w:val="FF0000"/>
        </w:rPr>
        <w:fldChar w:fldCharType="begin"/>
      </w:r>
      <w:r w:rsidRPr="00FC2864">
        <w:rPr>
          <w:bCs/>
          <w:color w:val="FF0000"/>
        </w:rPr>
        <w:instrText xml:space="preserve"> TOC \n \h \z \t "Observation,1" </w:instrText>
      </w:r>
      <w:r w:rsidRPr="00FC2864">
        <w:rPr>
          <w:bCs/>
          <w:color w:val="FF0000"/>
        </w:rPr>
        <w:fldChar w:fldCharType="separate"/>
      </w:r>
      <w:hyperlink w:anchor="_Toc463052994" w:history="1">
        <w:r w:rsidR="00BB029E" w:rsidRPr="00151B71">
          <w:rPr>
            <w:rStyle w:val="Hyperlink"/>
          </w:rPr>
          <w:t>Observation 1</w:t>
        </w:r>
        <w:r w:rsidR="00BB029E">
          <w:rPr>
            <w:rFonts w:asciiTheme="minorHAnsi" w:eastAsiaTheme="minorEastAsia" w:hAnsiTheme="minorHAnsi" w:cstheme="minorBidi"/>
            <w:b w:val="0"/>
            <w:sz w:val="22"/>
            <w:lang w:eastAsia="en-US"/>
          </w:rPr>
          <w:tab/>
        </w:r>
        <w:r w:rsidR="00BB029E" w:rsidRPr="00151B71">
          <w:rPr>
            <w:rStyle w:val="Hyperlink"/>
          </w:rPr>
          <w:t xml:space="preserve">To fully dynamically indicate which </w:t>
        </w:r>
        <w:r w:rsidR="00BB029E" w:rsidRPr="00151B71">
          <w:rPr>
            <w:rStyle w:val="Hyperlink"/>
            <w:i/>
          </w:rPr>
          <w:t>K’</w:t>
        </w:r>
        <w:r w:rsidR="00BB029E" w:rsidRPr="00151B71">
          <w:rPr>
            <w:rStyle w:val="Hyperlink"/>
          </w:rPr>
          <w:t xml:space="preserve"> out of the </w:t>
        </w:r>
        <w:r w:rsidR="00BB029E" w:rsidRPr="00151B71">
          <w:rPr>
            <w:rStyle w:val="Hyperlink"/>
            <w:i/>
          </w:rPr>
          <w:t>K</w:t>
        </w:r>
        <w:r w:rsidR="00BB029E" w:rsidRPr="00151B71">
          <w:rPr>
            <w:rStyle w:val="Hyperlink"/>
          </w:rPr>
          <w:t xml:space="preserve"> aperiodic CSI-RS resources are being used in a given subframe for the purposes of PDSCH rate matching, a bitmap of 8 DCI bits is required.</w:t>
        </w:r>
      </w:hyperlink>
    </w:p>
    <w:p w14:paraId="2E69A4A1" w14:textId="0E05EC08" w:rsidR="00BB029E" w:rsidRDefault="00BB029E">
      <w:pPr>
        <w:pStyle w:val="TOC1"/>
        <w:rPr>
          <w:rFonts w:asciiTheme="minorHAnsi" w:eastAsiaTheme="minorEastAsia" w:hAnsiTheme="minorHAnsi" w:cstheme="minorBidi"/>
          <w:b w:val="0"/>
          <w:sz w:val="22"/>
          <w:lang w:eastAsia="en-US"/>
        </w:rPr>
      </w:pPr>
      <w:hyperlink w:anchor="_Toc463052995" w:history="1">
        <w:r w:rsidRPr="00151B71">
          <w:rPr>
            <w:rStyle w:val="Hyperlink"/>
          </w:rPr>
          <w:t>Observation 2</w:t>
        </w:r>
        <w:r>
          <w:rPr>
            <w:rFonts w:asciiTheme="minorHAnsi" w:eastAsiaTheme="minorEastAsia" w:hAnsiTheme="minorHAnsi" w:cstheme="minorBidi"/>
            <w:b w:val="0"/>
            <w:sz w:val="22"/>
            <w:lang w:eastAsia="en-US"/>
          </w:rPr>
          <w:tab/>
        </w:r>
        <w:r w:rsidRPr="00151B71">
          <w:rPr>
            <w:rStyle w:val="Hyperlink"/>
          </w:rPr>
          <w:t xml:space="preserve">Even when K’ is known with </w:t>
        </w:r>
        <w:r w:rsidRPr="00151B71">
          <w:rPr>
            <w:rStyle w:val="Hyperlink"/>
            <w:i/>
          </w:rPr>
          <w:t>K=8</w:t>
        </w:r>
        <w:r w:rsidRPr="00151B71">
          <w:rPr>
            <w:rStyle w:val="Hyperlink"/>
          </w:rPr>
          <w:t xml:space="preserve"> aperiodic CSI-RS resources, 7 DCI bits are needed which still amounts to a large increase in DCI overhead.</w:t>
        </w:r>
      </w:hyperlink>
    </w:p>
    <w:p w14:paraId="25DD7095" w14:textId="74F4DDDB" w:rsidR="00BB029E" w:rsidRDefault="00BB029E">
      <w:pPr>
        <w:pStyle w:val="TOC1"/>
        <w:rPr>
          <w:rFonts w:asciiTheme="minorHAnsi" w:eastAsiaTheme="minorEastAsia" w:hAnsiTheme="minorHAnsi" w:cstheme="minorBidi"/>
          <w:b w:val="0"/>
          <w:sz w:val="22"/>
          <w:lang w:eastAsia="en-US"/>
        </w:rPr>
      </w:pPr>
      <w:hyperlink w:anchor="_Toc463052996" w:history="1">
        <w:r w:rsidRPr="00151B71">
          <w:rPr>
            <w:rStyle w:val="Hyperlink"/>
          </w:rPr>
          <w:t>Observation 3</w:t>
        </w:r>
        <w:r>
          <w:rPr>
            <w:rFonts w:asciiTheme="minorHAnsi" w:eastAsiaTheme="minorEastAsia" w:hAnsiTheme="minorHAnsi" w:cstheme="minorBidi"/>
            <w:b w:val="0"/>
            <w:sz w:val="22"/>
            <w:lang w:eastAsia="en-US"/>
          </w:rPr>
          <w:tab/>
        </w:r>
        <w:r w:rsidRPr="00151B71">
          <w:rPr>
            <w:rStyle w:val="Hyperlink"/>
          </w:rPr>
          <w:t>Introducing an aperiodic ZP CSI-RS resource signaling field in DCIs for all TMs will result in unwanted increase in DCI overhead.</w:t>
        </w:r>
      </w:hyperlink>
    </w:p>
    <w:p w14:paraId="3B34D188" w14:textId="4708B389" w:rsidR="00BB029E" w:rsidRDefault="00BB029E">
      <w:pPr>
        <w:pStyle w:val="TOC1"/>
        <w:rPr>
          <w:rFonts w:asciiTheme="minorHAnsi" w:eastAsiaTheme="minorEastAsia" w:hAnsiTheme="minorHAnsi" w:cstheme="minorBidi"/>
          <w:b w:val="0"/>
          <w:sz w:val="22"/>
          <w:lang w:eastAsia="en-US"/>
        </w:rPr>
      </w:pPr>
      <w:hyperlink w:anchor="_Toc463052997" w:history="1">
        <w:r w:rsidRPr="00151B71">
          <w:rPr>
            <w:rStyle w:val="Hyperlink"/>
          </w:rPr>
          <w:t>Observation 4</w:t>
        </w:r>
        <w:r>
          <w:rPr>
            <w:rFonts w:asciiTheme="minorHAnsi" w:eastAsiaTheme="minorEastAsia" w:hAnsiTheme="minorHAnsi" w:cstheme="minorBidi"/>
            <w:b w:val="0"/>
            <w:sz w:val="22"/>
            <w:lang w:eastAsia="en-US"/>
          </w:rPr>
          <w:tab/>
        </w:r>
        <w:r w:rsidRPr="00151B71">
          <w:rPr>
            <w:rStyle w:val="Hyperlink"/>
          </w:rPr>
          <w:t>Dynamically indicating aperiodic ZP CSI-RS by a new common DCI results in increased number of blind detection attempts in the common search space, PDCCH overhead, and cannot be applied in all cases of carrier aggregation.</w:t>
        </w:r>
      </w:hyperlink>
    </w:p>
    <w:p w14:paraId="74571A3B" w14:textId="27A6515E" w:rsidR="00BB029E" w:rsidRDefault="00BB029E">
      <w:pPr>
        <w:pStyle w:val="TOC1"/>
        <w:rPr>
          <w:rFonts w:asciiTheme="minorHAnsi" w:eastAsiaTheme="minorEastAsia" w:hAnsiTheme="minorHAnsi" w:cstheme="minorBidi"/>
          <w:b w:val="0"/>
          <w:sz w:val="22"/>
          <w:lang w:eastAsia="en-US"/>
        </w:rPr>
      </w:pPr>
      <w:hyperlink w:anchor="_Toc463052998" w:history="1">
        <w:r w:rsidRPr="00151B71">
          <w:rPr>
            <w:rStyle w:val="Hyperlink"/>
          </w:rPr>
          <w:t>Observation 5</w:t>
        </w:r>
        <w:r>
          <w:rPr>
            <w:rFonts w:asciiTheme="minorHAnsi" w:eastAsiaTheme="minorEastAsia" w:hAnsiTheme="minorHAnsi" w:cstheme="minorBidi"/>
            <w:b w:val="0"/>
            <w:sz w:val="22"/>
            <w:lang w:eastAsia="en-US"/>
          </w:rPr>
          <w:tab/>
        </w:r>
        <w:r w:rsidRPr="00151B71">
          <w:rPr>
            <w:rStyle w:val="Hyperlink"/>
          </w:rPr>
          <w:t>Increasing the number of PQI states for TM10 is undesirable for PDSCH rate matching resource indication since it will require an additional 5-6 bits to be added to DCI format 2D payload.</w:t>
        </w:r>
      </w:hyperlink>
    </w:p>
    <w:p w14:paraId="4C9642BE" w14:textId="48B9628E" w:rsidR="00BB029E" w:rsidRDefault="00BB029E">
      <w:pPr>
        <w:pStyle w:val="TOC1"/>
        <w:rPr>
          <w:rFonts w:asciiTheme="minorHAnsi" w:eastAsiaTheme="minorEastAsia" w:hAnsiTheme="minorHAnsi" w:cstheme="minorBidi"/>
          <w:b w:val="0"/>
          <w:sz w:val="22"/>
          <w:lang w:eastAsia="en-US"/>
        </w:rPr>
      </w:pPr>
      <w:hyperlink w:anchor="_Toc463052999" w:history="1">
        <w:r w:rsidRPr="00151B71">
          <w:rPr>
            <w:rStyle w:val="Hyperlink"/>
          </w:rPr>
          <w:t>Observation 6</w:t>
        </w:r>
        <w:r>
          <w:rPr>
            <w:rFonts w:asciiTheme="minorHAnsi" w:eastAsiaTheme="minorEastAsia" w:hAnsiTheme="minorHAnsi" w:cstheme="minorBidi"/>
            <w:b w:val="0"/>
            <w:sz w:val="22"/>
            <w:lang w:eastAsia="en-US"/>
          </w:rPr>
          <w:tab/>
        </w:r>
        <w:r w:rsidRPr="00151B71">
          <w:rPr>
            <w:rStyle w:val="Hyperlink"/>
          </w:rPr>
          <w:t>Only small overhead savings of 2-4 % are achieved by fully dynamic resource indicati</w:t>
        </w:r>
        <w:bookmarkStart w:id="28" w:name="_GoBack"/>
        <w:bookmarkEnd w:id="28"/>
        <w:r w:rsidRPr="00151B71">
          <w:rPr>
            <w:rStyle w:val="Hyperlink"/>
          </w:rPr>
          <w:t>on over dynamic half pool resource indication for PDSCH rate matching.</w:t>
        </w:r>
      </w:hyperlink>
    </w:p>
    <w:p w14:paraId="4602E013" w14:textId="32DC6C74" w:rsidR="008E065E" w:rsidRPr="006237D9" w:rsidRDefault="00E5689D" w:rsidP="00C978A5">
      <w:pPr>
        <w:pStyle w:val="BodyText"/>
        <w:rPr>
          <w:b/>
          <w:bCs/>
        </w:rPr>
      </w:pPr>
      <w:r w:rsidRPr="00FC2864">
        <w:rPr>
          <w:bCs/>
          <w:noProof/>
          <w:color w:val="FF0000"/>
        </w:rPr>
        <w:fldChar w:fldCharType="end"/>
      </w:r>
    </w:p>
    <w:p w14:paraId="7C0D5324" w14:textId="0FFCF176" w:rsidR="00C978A5" w:rsidRPr="002672D9" w:rsidRDefault="00E5689D" w:rsidP="00E5689D">
      <w:pPr>
        <w:pStyle w:val="BodyText"/>
      </w:pPr>
      <w:r w:rsidRPr="002672D9">
        <w:t>Based on the discussion in S</w:t>
      </w:r>
      <w:r w:rsidR="008E065E" w:rsidRPr="002672D9">
        <w:t>ection</w:t>
      </w:r>
      <w:r w:rsidR="00C978A5" w:rsidRPr="002672D9">
        <w:t>s 2-</w:t>
      </w:r>
      <w:r w:rsidR="005D6A5F" w:rsidRPr="002672D9">
        <w:t>4</w:t>
      </w:r>
      <w:r w:rsidR="00C978A5" w:rsidRPr="002672D9">
        <w:t>,</w:t>
      </w:r>
      <w:r w:rsidR="008E065E" w:rsidRPr="002672D9">
        <w:t xml:space="preserve"> we propose the following:</w:t>
      </w:r>
    </w:p>
    <w:p w14:paraId="5082B747" w14:textId="77777777" w:rsidR="00BB029E" w:rsidRDefault="00E5689D">
      <w:pPr>
        <w:pStyle w:val="TOC1"/>
        <w:rPr>
          <w:rFonts w:asciiTheme="minorHAnsi" w:eastAsiaTheme="minorEastAsia" w:hAnsiTheme="minorHAnsi" w:cstheme="minorBidi"/>
          <w:b w:val="0"/>
          <w:sz w:val="22"/>
          <w:lang w:eastAsia="en-US"/>
        </w:rPr>
      </w:pPr>
      <w:r w:rsidRPr="006237D9">
        <w:rPr>
          <w:b w:val="0"/>
          <w:bCs/>
        </w:rPr>
        <w:fldChar w:fldCharType="begin"/>
      </w:r>
      <w:r w:rsidRPr="006237D9">
        <w:rPr>
          <w:bCs/>
        </w:rPr>
        <w:instrText xml:space="preserve"> TOC \f \n \p " " \t "Proposal,1" </w:instrText>
      </w:r>
      <w:r w:rsidRPr="006237D9">
        <w:rPr>
          <w:b w:val="0"/>
          <w:bCs/>
        </w:rPr>
        <w:fldChar w:fldCharType="separate"/>
      </w:r>
      <w:r w:rsidR="00BB029E" w:rsidRPr="00F53866">
        <w:rPr>
          <w:rFonts w:eastAsiaTheme="minorEastAsia"/>
        </w:rPr>
        <w:t>Proposal 1</w:t>
      </w:r>
      <w:r w:rsidR="00BB029E">
        <w:rPr>
          <w:rFonts w:asciiTheme="minorHAnsi" w:eastAsiaTheme="minorEastAsia" w:hAnsiTheme="minorHAnsi" w:cstheme="minorBidi"/>
          <w:b w:val="0"/>
          <w:sz w:val="22"/>
          <w:lang w:eastAsia="en-US"/>
        </w:rPr>
        <w:tab/>
      </w:r>
      <w:r w:rsidR="00BB029E">
        <w:t>If PQI states are used for aperiodic CSI-RS rate matching, existing PQI states combined with dynamic half pool resource indication should be specified for TM10.</w:t>
      </w:r>
    </w:p>
    <w:p w14:paraId="41BE0F1C" w14:textId="77777777" w:rsidR="00BB029E" w:rsidRDefault="00BB029E">
      <w:pPr>
        <w:pStyle w:val="TOC1"/>
        <w:rPr>
          <w:rFonts w:asciiTheme="minorHAnsi" w:eastAsiaTheme="minorEastAsia" w:hAnsiTheme="minorHAnsi" w:cstheme="minorBidi"/>
          <w:b w:val="0"/>
          <w:sz w:val="22"/>
          <w:lang w:eastAsia="en-US"/>
        </w:rPr>
      </w:pPr>
      <w:r w:rsidRPr="00F53866">
        <w:rPr>
          <w:rFonts w:eastAsiaTheme="minorEastAsia"/>
        </w:rPr>
        <w:t>Proposal 2</w:t>
      </w:r>
      <w:r>
        <w:rPr>
          <w:rFonts w:asciiTheme="minorHAnsi" w:eastAsiaTheme="minorEastAsia" w:hAnsiTheme="minorHAnsi" w:cstheme="minorBidi"/>
          <w:b w:val="0"/>
          <w:sz w:val="22"/>
          <w:lang w:eastAsia="en-US"/>
        </w:rPr>
        <w:tab/>
      </w:r>
      <w:r>
        <w:t>EPDCCH REs should not be punctured with aperiodic CSI-RS.</w:t>
      </w:r>
    </w:p>
    <w:p w14:paraId="4AFD2DC5" w14:textId="076889FF" w:rsidR="00791D1E" w:rsidRPr="00A15A30" w:rsidRDefault="00E5689D" w:rsidP="0007765E">
      <w:pPr>
        <w:pStyle w:val="BodyText"/>
        <w:rPr>
          <w:b/>
          <w:bCs/>
        </w:rPr>
      </w:pPr>
      <w:r w:rsidRPr="006237D9">
        <w:rPr>
          <w:b/>
          <w:bCs/>
        </w:rPr>
        <w:fldChar w:fldCharType="end"/>
      </w:r>
      <w:bookmarkStart w:id="29" w:name="_In-sequence_SDU_delivery"/>
      <w:bookmarkEnd w:id="29"/>
    </w:p>
    <w:p w14:paraId="11A3B043" w14:textId="77777777" w:rsidR="00867C02" w:rsidRPr="00CE0424" w:rsidRDefault="00867C02" w:rsidP="00867C02">
      <w:pPr>
        <w:pStyle w:val="Heading1"/>
      </w:pPr>
      <w:r w:rsidRPr="00CE0424">
        <w:t>References</w:t>
      </w:r>
    </w:p>
    <w:p w14:paraId="4FADBAA1" w14:textId="66F9512F" w:rsidR="00867C02" w:rsidRDefault="00867C02" w:rsidP="00867C02">
      <w:pPr>
        <w:pStyle w:val="Reference"/>
        <w:overflowPunct w:val="0"/>
        <w:autoSpaceDE w:val="0"/>
        <w:autoSpaceDN w:val="0"/>
        <w:adjustRightInd w:val="0"/>
        <w:spacing w:after="120" w:line="240" w:lineRule="auto"/>
        <w:jc w:val="both"/>
        <w:textAlignment w:val="baseline"/>
        <w:rPr>
          <w:b/>
          <w:bCs/>
        </w:rPr>
      </w:pPr>
      <w:bookmarkStart w:id="30" w:name="_Ref458411304"/>
      <w:bookmarkStart w:id="31" w:name="_Ref458296644"/>
      <w:r w:rsidRPr="002672D9">
        <w:t>R1-167637, “UE specific Beamforming with Aperiodic CSI-RS Transmission”, Ericsson, 3GPP TSG-RAN WG1 #86, Gothenburg, Sweden, August 22-26, 2016.</w:t>
      </w:r>
      <w:bookmarkEnd w:id="30"/>
      <w:bookmarkEnd w:id="31"/>
      <w:r w:rsidRPr="002672D9">
        <w:rPr>
          <w:b/>
          <w:bCs/>
        </w:rPr>
        <w:t xml:space="preserve"> </w:t>
      </w:r>
    </w:p>
    <w:p w14:paraId="05AC6ACB" w14:textId="71F70932" w:rsidR="00F259B1" w:rsidRPr="002672D9" w:rsidRDefault="00F259B1" w:rsidP="00F259B1">
      <w:pPr>
        <w:pStyle w:val="Reference"/>
        <w:rPr>
          <w:b/>
          <w:bCs/>
        </w:rPr>
      </w:pPr>
      <w:bookmarkStart w:id="32" w:name="_Ref463033268"/>
      <w:r>
        <w:rPr>
          <w:b/>
          <w:bCs/>
        </w:rPr>
        <w:t>R1-1609847, “</w:t>
      </w:r>
      <w:r w:rsidRPr="00F259B1">
        <w:rPr>
          <w:b/>
          <w:bCs/>
        </w:rPr>
        <w:t>QCL for Multi-Shot or Aperiodic CSI-RS</w:t>
      </w:r>
      <w:r>
        <w:rPr>
          <w:b/>
          <w:bCs/>
        </w:rPr>
        <w:t>” Ericsson, RAN1#86</w:t>
      </w:r>
      <w:bookmarkEnd w:id="32"/>
    </w:p>
    <w:p w14:paraId="2EAF08BF" w14:textId="77777777" w:rsidR="00867C02" w:rsidRPr="002672D9" w:rsidRDefault="00867C02" w:rsidP="0007765E">
      <w:pPr>
        <w:pStyle w:val="BodyText"/>
        <w:rPr>
          <w:b/>
          <w:bCs/>
        </w:rPr>
      </w:pPr>
    </w:p>
    <w:sectPr w:rsidR="00867C02" w:rsidRPr="002672D9" w:rsidSect="00385DD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34E0F" w14:textId="77777777" w:rsidR="00593C8A" w:rsidRDefault="00593C8A">
      <w:r>
        <w:separator/>
      </w:r>
    </w:p>
  </w:endnote>
  <w:endnote w:type="continuationSeparator" w:id="0">
    <w:p w14:paraId="0CB79FF9" w14:textId="77777777" w:rsidR="00593C8A" w:rsidRDefault="00593C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AE1328" w14:textId="77777777" w:rsidR="002069E9" w:rsidRDefault="002069E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BBCD9E" w14:textId="78ED410E" w:rsidR="00F259B1" w:rsidRDefault="00F259B1"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BB029E">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BB029E">
      <w:rPr>
        <w:rStyle w:val="PageNumber"/>
      </w:rPr>
      <w:t>7</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2899C9" w14:textId="77777777" w:rsidR="002069E9" w:rsidRDefault="002069E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460C20F" w14:textId="77777777" w:rsidR="00593C8A" w:rsidRDefault="00593C8A">
      <w:r>
        <w:separator/>
      </w:r>
    </w:p>
  </w:footnote>
  <w:footnote w:type="continuationSeparator" w:id="0">
    <w:p w14:paraId="09B5F87B" w14:textId="77777777" w:rsidR="00593C8A" w:rsidRDefault="00593C8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1F0FC7" w14:textId="77777777" w:rsidR="00F259B1" w:rsidRDefault="00F259B1">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4CD84" w14:textId="77777777" w:rsidR="002069E9" w:rsidRDefault="002069E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FAF5419" w14:textId="77777777" w:rsidR="002069E9" w:rsidRDefault="002069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02B2115"/>
    <w:multiLevelType w:val="hybridMultilevel"/>
    <w:tmpl w:val="DC50AD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0E1736"/>
    <w:multiLevelType w:val="hybridMultilevel"/>
    <w:tmpl w:val="298A1E9E"/>
    <w:lvl w:ilvl="0" w:tplc="EC9A5FD4">
      <w:start w:val="1"/>
      <w:numFmt w:val="bullet"/>
      <w:lvlText w:val="•"/>
      <w:lvlJc w:val="left"/>
      <w:pPr>
        <w:tabs>
          <w:tab w:val="num" w:pos="720"/>
        </w:tabs>
        <w:ind w:left="720" w:hanging="360"/>
      </w:pPr>
      <w:rPr>
        <w:rFonts w:ascii="Arial" w:hAnsi="Arial" w:hint="default"/>
      </w:rPr>
    </w:lvl>
    <w:lvl w:ilvl="1" w:tplc="D04A3366">
      <w:start w:val="1065"/>
      <w:numFmt w:val="bullet"/>
      <w:lvlText w:val="–"/>
      <w:lvlJc w:val="left"/>
      <w:pPr>
        <w:tabs>
          <w:tab w:val="num" w:pos="1440"/>
        </w:tabs>
        <w:ind w:left="1440" w:hanging="360"/>
      </w:pPr>
      <w:rPr>
        <w:rFonts w:ascii="Arial" w:hAnsi="Arial" w:hint="default"/>
      </w:rPr>
    </w:lvl>
    <w:lvl w:ilvl="2" w:tplc="380804A6">
      <w:start w:val="1065"/>
      <w:numFmt w:val="bullet"/>
      <w:lvlText w:val="•"/>
      <w:lvlJc w:val="left"/>
      <w:pPr>
        <w:tabs>
          <w:tab w:val="num" w:pos="2160"/>
        </w:tabs>
        <w:ind w:left="2160" w:hanging="360"/>
      </w:pPr>
      <w:rPr>
        <w:rFonts w:ascii="Arial" w:hAnsi="Arial" w:hint="default"/>
      </w:rPr>
    </w:lvl>
    <w:lvl w:ilvl="3" w:tplc="911688DA">
      <w:start w:val="1"/>
      <w:numFmt w:val="bullet"/>
      <w:lvlText w:val="•"/>
      <w:lvlJc w:val="left"/>
      <w:pPr>
        <w:tabs>
          <w:tab w:val="num" w:pos="2880"/>
        </w:tabs>
        <w:ind w:left="2880" w:hanging="360"/>
      </w:pPr>
      <w:rPr>
        <w:rFonts w:ascii="Arial" w:hAnsi="Arial" w:hint="default"/>
      </w:rPr>
    </w:lvl>
    <w:lvl w:ilvl="4" w:tplc="B2366B5C" w:tentative="1">
      <w:start w:val="1"/>
      <w:numFmt w:val="bullet"/>
      <w:lvlText w:val="•"/>
      <w:lvlJc w:val="left"/>
      <w:pPr>
        <w:tabs>
          <w:tab w:val="num" w:pos="3600"/>
        </w:tabs>
        <w:ind w:left="3600" w:hanging="360"/>
      </w:pPr>
      <w:rPr>
        <w:rFonts w:ascii="Arial" w:hAnsi="Arial" w:hint="default"/>
      </w:rPr>
    </w:lvl>
    <w:lvl w:ilvl="5" w:tplc="0486EAEA" w:tentative="1">
      <w:start w:val="1"/>
      <w:numFmt w:val="bullet"/>
      <w:lvlText w:val="•"/>
      <w:lvlJc w:val="left"/>
      <w:pPr>
        <w:tabs>
          <w:tab w:val="num" w:pos="4320"/>
        </w:tabs>
        <w:ind w:left="4320" w:hanging="360"/>
      </w:pPr>
      <w:rPr>
        <w:rFonts w:ascii="Arial" w:hAnsi="Arial" w:hint="default"/>
      </w:rPr>
    </w:lvl>
    <w:lvl w:ilvl="6" w:tplc="961C580C" w:tentative="1">
      <w:start w:val="1"/>
      <w:numFmt w:val="bullet"/>
      <w:lvlText w:val="•"/>
      <w:lvlJc w:val="left"/>
      <w:pPr>
        <w:tabs>
          <w:tab w:val="num" w:pos="5040"/>
        </w:tabs>
        <w:ind w:left="5040" w:hanging="360"/>
      </w:pPr>
      <w:rPr>
        <w:rFonts w:ascii="Arial" w:hAnsi="Arial" w:hint="default"/>
      </w:rPr>
    </w:lvl>
    <w:lvl w:ilvl="7" w:tplc="4F84000C" w:tentative="1">
      <w:start w:val="1"/>
      <w:numFmt w:val="bullet"/>
      <w:lvlText w:val="•"/>
      <w:lvlJc w:val="left"/>
      <w:pPr>
        <w:tabs>
          <w:tab w:val="num" w:pos="5760"/>
        </w:tabs>
        <w:ind w:left="5760" w:hanging="360"/>
      </w:pPr>
      <w:rPr>
        <w:rFonts w:ascii="Arial" w:hAnsi="Arial" w:hint="default"/>
      </w:rPr>
    </w:lvl>
    <w:lvl w:ilvl="8" w:tplc="2CA408D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88747B2"/>
    <w:multiLevelType w:val="hybridMultilevel"/>
    <w:tmpl w:val="93AA5ADE"/>
    <w:lvl w:ilvl="0" w:tplc="860CEEF6">
      <w:start w:val="1"/>
      <w:numFmt w:val="bullet"/>
      <w:lvlText w:val="•"/>
      <w:lvlJc w:val="left"/>
      <w:pPr>
        <w:tabs>
          <w:tab w:val="num" w:pos="720"/>
        </w:tabs>
        <w:ind w:left="720" w:hanging="360"/>
      </w:pPr>
      <w:rPr>
        <w:rFonts w:ascii="Arial" w:hAnsi="Arial" w:hint="default"/>
      </w:rPr>
    </w:lvl>
    <w:lvl w:ilvl="1" w:tplc="0C4C18CA">
      <w:start w:val="1914"/>
      <w:numFmt w:val="bullet"/>
      <w:lvlText w:val="–"/>
      <w:lvlJc w:val="left"/>
      <w:pPr>
        <w:tabs>
          <w:tab w:val="num" w:pos="1440"/>
        </w:tabs>
        <w:ind w:left="1440" w:hanging="360"/>
      </w:pPr>
      <w:rPr>
        <w:rFonts w:ascii="Arial" w:hAnsi="Arial" w:hint="default"/>
      </w:rPr>
    </w:lvl>
    <w:lvl w:ilvl="2" w:tplc="67BC2AE0">
      <w:start w:val="1914"/>
      <w:numFmt w:val="bullet"/>
      <w:lvlText w:val="•"/>
      <w:lvlJc w:val="left"/>
      <w:pPr>
        <w:tabs>
          <w:tab w:val="num" w:pos="2160"/>
        </w:tabs>
        <w:ind w:left="2160" w:hanging="360"/>
      </w:pPr>
      <w:rPr>
        <w:rFonts w:ascii="Arial" w:hAnsi="Arial" w:hint="default"/>
      </w:rPr>
    </w:lvl>
    <w:lvl w:ilvl="3" w:tplc="1728DDF6">
      <w:start w:val="1914"/>
      <w:numFmt w:val="bullet"/>
      <w:lvlText w:val="–"/>
      <w:lvlJc w:val="left"/>
      <w:pPr>
        <w:tabs>
          <w:tab w:val="num" w:pos="2880"/>
        </w:tabs>
        <w:ind w:left="2880" w:hanging="360"/>
      </w:pPr>
      <w:rPr>
        <w:rFonts w:ascii="Arial" w:hAnsi="Arial" w:hint="default"/>
      </w:rPr>
    </w:lvl>
    <w:lvl w:ilvl="4" w:tplc="D026D28A">
      <w:start w:val="1914"/>
      <w:numFmt w:val="bullet"/>
      <w:lvlText w:val="»"/>
      <w:lvlJc w:val="left"/>
      <w:pPr>
        <w:tabs>
          <w:tab w:val="num" w:pos="3600"/>
        </w:tabs>
        <w:ind w:left="3600" w:hanging="360"/>
      </w:pPr>
      <w:rPr>
        <w:rFonts w:ascii="Arial" w:hAnsi="Arial" w:hint="default"/>
      </w:rPr>
    </w:lvl>
    <w:lvl w:ilvl="5" w:tplc="98961E32" w:tentative="1">
      <w:start w:val="1"/>
      <w:numFmt w:val="bullet"/>
      <w:lvlText w:val="•"/>
      <w:lvlJc w:val="left"/>
      <w:pPr>
        <w:tabs>
          <w:tab w:val="num" w:pos="4320"/>
        </w:tabs>
        <w:ind w:left="4320" w:hanging="360"/>
      </w:pPr>
      <w:rPr>
        <w:rFonts w:ascii="Arial" w:hAnsi="Arial" w:hint="default"/>
      </w:rPr>
    </w:lvl>
    <w:lvl w:ilvl="6" w:tplc="D83ADEE8" w:tentative="1">
      <w:start w:val="1"/>
      <w:numFmt w:val="bullet"/>
      <w:lvlText w:val="•"/>
      <w:lvlJc w:val="left"/>
      <w:pPr>
        <w:tabs>
          <w:tab w:val="num" w:pos="5040"/>
        </w:tabs>
        <w:ind w:left="5040" w:hanging="360"/>
      </w:pPr>
      <w:rPr>
        <w:rFonts w:ascii="Arial" w:hAnsi="Arial" w:hint="default"/>
      </w:rPr>
    </w:lvl>
    <w:lvl w:ilvl="7" w:tplc="ECC00DE8" w:tentative="1">
      <w:start w:val="1"/>
      <w:numFmt w:val="bullet"/>
      <w:lvlText w:val="•"/>
      <w:lvlJc w:val="left"/>
      <w:pPr>
        <w:tabs>
          <w:tab w:val="num" w:pos="5760"/>
        </w:tabs>
        <w:ind w:left="5760" w:hanging="360"/>
      </w:pPr>
      <w:rPr>
        <w:rFonts w:ascii="Arial" w:hAnsi="Arial" w:hint="default"/>
      </w:rPr>
    </w:lvl>
    <w:lvl w:ilvl="8" w:tplc="F2846324"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9373D44"/>
    <w:multiLevelType w:val="hybridMultilevel"/>
    <w:tmpl w:val="34B2F5C6"/>
    <w:lvl w:ilvl="0" w:tplc="78BA1B7E">
      <w:start w:val="1"/>
      <w:numFmt w:val="bullet"/>
      <w:lvlText w:val="•"/>
      <w:lvlJc w:val="left"/>
      <w:pPr>
        <w:tabs>
          <w:tab w:val="num" w:pos="720"/>
        </w:tabs>
        <w:ind w:left="720" w:hanging="360"/>
      </w:pPr>
      <w:rPr>
        <w:rFonts w:ascii="Arial" w:hAnsi="Arial" w:cs="Times New Roman" w:hint="default"/>
      </w:rPr>
    </w:lvl>
    <w:lvl w:ilvl="1" w:tplc="0B10BFEE">
      <w:start w:val="57"/>
      <w:numFmt w:val="bullet"/>
      <w:lvlText w:val="–"/>
      <w:lvlJc w:val="left"/>
      <w:pPr>
        <w:tabs>
          <w:tab w:val="num" w:pos="1440"/>
        </w:tabs>
        <w:ind w:left="1440" w:hanging="360"/>
      </w:pPr>
      <w:rPr>
        <w:rFonts w:ascii="Arial" w:hAnsi="Arial" w:cs="Times New Roman" w:hint="default"/>
      </w:rPr>
    </w:lvl>
    <w:lvl w:ilvl="2" w:tplc="BDE8E430">
      <w:start w:val="57"/>
      <w:numFmt w:val="bullet"/>
      <w:lvlText w:val="•"/>
      <w:lvlJc w:val="left"/>
      <w:pPr>
        <w:tabs>
          <w:tab w:val="num" w:pos="2160"/>
        </w:tabs>
        <w:ind w:left="2160" w:hanging="360"/>
      </w:pPr>
      <w:rPr>
        <w:rFonts w:ascii="Arial" w:hAnsi="Arial" w:cs="Times New Roman" w:hint="default"/>
      </w:rPr>
    </w:lvl>
    <w:lvl w:ilvl="3" w:tplc="AA424E76">
      <w:start w:val="1"/>
      <w:numFmt w:val="bullet"/>
      <w:lvlText w:val="•"/>
      <w:lvlJc w:val="left"/>
      <w:pPr>
        <w:tabs>
          <w:tab w:val="num" w:pos="2880"/>
        </w:tabs>
        <w:ind w:left="2880" w:hanging="360"/>
      </w:pPr>
      <w:rPr>
        <w:rFonts w:ascii="Arial" w:hAnsi="Arial" w:cs="Times New Roman" w:hint="default"/>
      </w:rPr>
    </w:lvl>
    <w:lvl w:ilvl="4" w:tplc="56903DB4">
      <w:start w:val="1"/>
      <w:numFmt w:val="bullet"/>
      <w:lvlText w:val="•"/>
      <w:lvlJc w:val="left"/>
      <w:pPr>
        <w:tabs>
          <w:tab w:val="num" w:pos="3600"/>
        </w:tabs>
        <w:ind w:left="3600" w:hanging="360"/>
      </w:pPr>
      <w:rPr>
        <w:rFonts w:ascii="Arial" w:hAnsi="Arial" w:cs="Times New Roman" w:hint="default"/>
      </w:rPr>
    </w:lvl>
    <w:lvl w:ilvl="5" w:tplc="97AC1EBE">
      <w:start w:val="1"/>
      <w:numFmt w:val="bullet"/>
      <w:lvlText w:val="•"/>
      <w:lvlJc w:val="left"/>
      <w:pPr>
        <w:tabs>
          <w:tab w:val="num" w:pos="4320"/>
        </w:tabs>
        <w:ind w:left="4320" w:hanging="360"/>
      </w:pPr>
      <w:rPr>
        <w:rFonts w:ascii="Arial" w:hAnsi="Arial" w:cs="Times New Roman" w:hint="default"/>
      </w:rPr>
    </w:lvl>
    <w:lvl w:ilvl="6" w:tplc="A94C61F4">
      <w:start w:val="1"/>
      <w:numFmt w:val="bullet"/>
      <w:lvlText w:val="•"/>
      <w:lvlJc w:val="left"/>
      <w:pPr>
        <w:tabs>
          <w:tab w:val="num" w:pos="5040"/>
        </w:tabs>
        <w:ind w:left="5040" w:hanging="360"/>
      </w:pPr>
      <w:rPr>
        <w:rFonts w:ascii="Arial" w:hAnsi="Arial" w:cs="Times New Roman" w:hint="default"/>
      </w:rPr>
    </w:lvl>
    <w:lvl w:ilvl="7" w:tplc="4F560D14">
      <w:start w:val="1"/>
      <w:numFmt w:val="bullet"/>
      <w:lvlText w:val="•"/>
      <w:lvlJc w:val="left"/>
      <w:pPr>
        <w:tabs>
          <w:tab w:val="num" w:pos="5760"/>
        </w:tabs>
        <w:ind w:left="5760" w:hanging="360"/>
      </w:pPr>
      <w:rPr>
        <w:rFonts w:ascii="Arial" w:hAnsi="Arial" w:cs="Times New Roman" w:hint="default"/>
      </w:rPr>
    </w:lvl>
    <w:lvl w:ilvl="8" w:tplc="05748F50">
      <w:start w:val="1"/>
      <w:numFmt w:val="bullet"/>
      <w:lvlText w:val="•"/>
      <w:lvlJc w:val="left"/>
      <w:pPr>
        <w:tabs>
          <w:tab w:val="num" w:pos="6480"/>
        </w:tabs>
        <w:ind w:left="6480" w:hanging="360"/>
      </w:pPr>
      <w:rPr>
        <w:rFonts w:ascii="Arial" w:hAnsi="Arial" w:cs="Times New Roman" w:hint="default"/>
      </w:rPr>
    </w:lvl>
  </w:abstractNum>
  <w:abstractNum w:abstractNumId="8" w15:restartNumberingAfterBreak="0">
    <w:nsid w:val="1DAB5294"/>
    <w:multiLevelType w:val="hybridMultilevel"/>
    <w:tmpl w:val="30B05C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4E56DD"/>
    <w:multiLevelType w:val="hybridMultilevel"/>
    <w:tmpl w:val="1AA819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58A64F3"/>
    <w:multiLevelType w:val="hybridMultilevel"/>
    <w:tmpl w:val="1BDE57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2F0E614E"/>
    <w:multiLevelType w:val="hybridMultilevel"/>
    <w:tmpl w:val="543AA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731682"/>
    <w:multiLevelType w:val="hybridMultilevel"/>
    <w:tmpl w:val="589A96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3BF67A4F"/>
    <w:multiLevelType w:val="hybridMultilevel"/>
    <w:tmpl w:val="329AB1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C195053"/>
    <w:multiLevelType w:val="hybridMultilevel"/>
    <w:tmpl w:val="96AE0F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3D17C3A"/>
    <w:multiLevelType w:val="hybridMultilevel"/>
    <w:tmpl w:val="FB7A1DA4"/>
    <w:lvl w:ilvl="0" w:tplc="8C82BC8A">
      <w:start w:val="1"/>
      <w:numFmt w:val="bullet"/>
      <w:lvlText w:val="•"/>
      <w:lvlJc w:val="left"/>
      <w:pPr>
        <w:tabs>
          <w:tab w:val="num" w:pos="720"/>
        </w:tabs>
        <w:ind w:left="720" w:hanging="360"/>
      </w:pPr>
      <w:rPr>
        <w:rFonts w:ascii="Arial" w:hAnsi="Arial" w:hint="default"/>
      </w:rPr>
    </w:lvl>
    <w:lvl w:ilvl="1" w:tplc="B5365FC8">
      <w:start w:val="3522"/>
      <w:numFmt w:val="bullet"/>
      <w:lvlText w:val="•"/>
      <w:lvlJc w:val="left"/>
      <w:pPr>
        <w:tabs>
          <w:tab w:val="num" w:pos="1440"/>
        </w:tabs>
        <w:ind w:left="1440" w:hanging="360"/>
      </w:pPr>
      <w:rPr>
        <w:rFonts w:ascii="Arial" w:hAnsi="Arial" w:hint="default"/>
      </w:rPr>
    </w:lvl>
    <w:lvl w:ilvl="2" w:tplc="1B16861A" w:tentative="1">
      <w:start w:val="1"/>
      <w:numFmt w:val="bullet"/>
      <w:lvlText w:val="•"/>
      <w:lvlJc w:val="left"/>
      <w:pPr>
        <w:tabs>
          <w:tab w:val="num" w:pos="2160"/>
        </w:tabs>
        <w:ind w:left="2160" w:hanging="360"/>
      </w:pPr>
      <w:rPr>
        <w:rFonts w:ascii="Arial" w:hAnsi="Arial" w:hint="default"/>
      </w:rPr>
    </w:lvl>
    <w:lvl w:ilvl="3" w:tplc="1A360FE4" w:tentative="1">
      <w:start w:val="1"/>
      <w:numFmt w:val="bullet"/>
      <w:lvlText w:val="•"/>
      <w:lvlJc w:val="left"/>
      <w:pPr>
        <w:tabs>
          <w:tab w:val="num" w:pos="2880"/>
        </w:tabs>
        <w:ind w:left="2880" w:hanging="360"/>
      </w:pPr>
      <w:rPr>
        <w:rFonts w:ascii="Arial" w:hAnsi="Arial" w:hint="default"/>
      </w:rPr>
    </w:lvl>
    <w:lvl w:ilvl="4" w:tplc="E006CCF8" w:tentative="1">
      <w:start w:val="1"/>
      <w:numFmt w:val="bullet"/>
      <w:lvlText w:val="•"/>
      <w:lvlJc w:val="left"/>
      <w:pPr>
        <w:tabs>
          <w:tab w:val="num" w:pos="3600"/>
        </w:tabs>
        <w:ind w:left="3600" w:hanging="360"/>
      </w:pPr>
      <w:rPr>
        <w:rFonts w:ascii="Arial" w:hAnsi="Arial" w:hint="default"/>
      </w:rPr>
    </w:lvl>
    <w:lvl w:ilvl="5" w:tplc="C59A4EA6" w:tentative="1">
      <w:start w:val="1"/>
      <w:numFmt w:val="bullet"/>
      <w:lvlText w:val="•"/>
      <w:lvlJc w:val="left"/>
      <w:pPr>
        <w:tabs>
          <w:tab w:val="num" w:pos="4320"/>
        </w:tabs>
        <w:ind w:left="4320" w:hanging="360"/>
      </w:pPr>
      <w:rPr>
        <w:rFonts w:ascii="Arial" w:hAnsi="Arial" w:hint="default"/>
      </w:rPr>
    </w:lvl>
    <w:lvl w:ilvl="6" w:tplc="843686BA" w:tentative="1">
      <w:start w:val="1"/>
      <w:numFmt w:val="bullet"/>
      <w:lvlText w:val="•"/>
      <w:lvlJc w:val="left"/>
      <w:pPr>
        <w:tabs>
          <w:tab w:val="num" w:pos="5040"/>
        </w:tabs>
        <w:ind w:left="5040" w:hanging="360"/>
      </w:pPr>
      <w:rPr>
        <w:rFonts w:ascii="Arial" w:hAnsi="Arial" w:hint="default"/>
      </w:rPr>
    </w:lvl>
    <w:lvl w:ilvl="7" w:tplc="331E6372" w:tentative="1">
      <w:start w:val="1"/>
      <w:numFmt w:val="bullet"/>
      <w:lvlText w:val="•"/>
      <w:lvlJc w:val="left"/>
      <w:pPr>
        <w:tabs>
          <w:tab w:val="num" w:pos="5760"/>
        </w:tabs>
        <w:ind w:left="5760" w:hanging="360"/>
      </w:pPr>
      <w:rPr>
        <w:rFonts w:ascii="Arial" w:hAnsi="Arial" w:hint="default"/>
      </w:rPr>
    </w:lvl>
    <w:lvl w:ilvl="8" w:tplc="748EDFF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A10C91"/>
    <w:multiLevelType w:val="hybridMultilevel"/>
    <w:tmpl w:val="98DCAC3A"/>
    <w:lvl w:ilvl="0" w:tplc="0409000F">
      <w:start w:val="1"/>
      <w:numFmt w:val="decimal"/>
      <w:lvlText w:val="%1."/>
      <w:lvlJc w:val="left"/>
      <w:pPr>
        <w:ind w:left="827" w:hanging="360"/>
      </w:pPr>
    </w:lvl>
    <w:lvl w:ilvl="1" w:tplc="04090019" w:tentative="1">
      <w:start w:val="1"/>
      <w:numFmt w:val="lowerLetter"/>
      <w:lvlText w:val="%2."/>
      <w:lvlJc w:val="left"/>
      <w:pPr>
        <w:ind w:left="1547" w:hanging="360"/>
      </w:pPr>
    </w:lvl>
    <w:lvl w:ilvl="2" w:tplc="0409001B" w:tentative="1">
      <w:start w:val="1"/>
      <w:numFmt w:val="lowerRoman"/>
      <w:lvlText w:val="%3."/>
      <w:lvlJc w:val="right"/>
      <w:pPr>
        <w:ind w:left="2267" w:hanging="180"/>
      </w:pPr>
    </w:lvl>
    <w:lvl w:ilvl="3" w:tplc="0409000F" w:tentative="1">
      <w:start w:val="1"/>
      <w:numFmt w:val="decimal"/>
      <w:lvlText w:val="%4."/>
      <w:lvlJc w:val="left"/>
      <w:pPr>
        <w:ind w:left="2987" w:hanging="360"/>
      </w:pPr>
    </w:lvl>
    <w:lvl w:ilvl="4" w:tplc="04090019" w:tentative="1">
      <w:start w:val="1"/>
      <w:numFmt w:val="lowerLetter"/>
      <w:lvlText w:val="%5."/>
      <w:lvlJc w:val="left"/>
      <w:pPr>
        <w:ind w:left="3707" w:hanging="360"/>
      </w:pPr>
    </w:lvl>
    <w:lvl w:ilvl="5" w:tplc="0409001B" w:tentative="1">
      <w:start w:val="1"/>
      <w:numFmt w:val="lowerRoman"/>
      <w:lvlText w:val="%6."/>
      <w:lvlJc w:val="right"/>
      <w:pPr>
        <w:ind w:left="4427" w:hanging="180"/>
      </w:pPr>
    </w:lvl>
    <w:lvl w:ilvl="6" w:tplc="0409000F" w:tentative="1">
      <w:start w:val="1"/>
      <w:numFmt w:val="decimal"/>
      <w:lvlText w:val="%7."/>
      <w:lvlJc w:val="left"/>
      <w:pPr>
        <w:ind w:left="5147" w:hanging="360"/>
      </w:pPr>
    </w:lvl>
    <w:lvl w:ilvl="7" w:tplc="04090019" w:tentative="1">
      <w:start w:val="1"/>
      <w:numFmt w:val="lowerLetter"/>
      <w:lvlText w:val="%8."/>
      <w:lvlJc w:val="left"/>
      <w:pPr>
        <w:ind w:left="5867" w:hanging="360"/>
      </w:pPr>
    </w:lvl>
    <w:lvl w:ilvl="8" w:tplc="0409001B" w:tentative="1">
      <w:start w:val="1"/>
      <w:numFmt w:val="lowerRoman"/>
      <w:lvlText w:val="%9."/>
      <w:lvlJc w:val="right"/>
      <w:pPr>
        <w:ind w:left="6587" w:hanging="180"/>
      </w:pPr>
    </w:lvl>
  </w:abstractNum>
  <w:abstractNum w:abstractNumId="23" w15:restartNumberingAfterBreak="0">
    <w:nsid w:val="4A5151FA"/>
    <w:multiLevelType w:val="hybridMultilevel"/>
    <w:tmpl w:val="4B92B03A"/>
    <w:lvl w:ilvl="0" w:tplc="48041DB6">
      <w:start w:val="1"/>
      <w:numFmt w:val="bullet"/>
      <w:lvlText w:val="–"/>
      <w:lvlJc w:val="left"/>
      <w:pPr>
        <w:tabs>
          <w:tab w:val="num" w:pos="720"/>
        </w:tabs>
        <w:ind w:left="720" w:hanging="360"/>
      </w:pPr>
      <w:rPr>
        <w:rFonts w:ascii="Ericsson Capital TT" w:hAnsi="Ericsson Capital TT" w:hint="default"/>
      </w:rPr>
    </w:lvl>
    <w:lvl w:ilvl="1" w:tplc="29E6C4A2">
      <w:start w:val="1"/>
      <w:numFmt w:val="bullet"/>
      <w:lvlText w:val="–"/>
      <w:lvlJc w:val="left"/>
      <w:pPr>
        <w:tabs>
          <w:tab w:val="num" w:pos="1440"/>
        </w:tabs>
        <w:ind w:left="1440" w:hanging="360"/>
      </w:pPr>
      <w:rPr>
        <w:rFonts w:ascii="Ericsson Capital TT" w:hAnsi="Ericsson Capital TT" w:hint="default"/>
      </w:rPr>
    </w:lvl>
    <w:lvl w:ilvl="2" w:tplc="32A43710" w:tentative="1">
      <w:start w:val="1"/>
      <w:numFmt w:val="bullet"/>
      <w:lvlText w:val="–"/>
      <w:lvlJc w:val="left"/>
      <w:pPr>
        <w:tabs>
          <w:tab w:val="num" w:pos="2160"/>
        </w:tabs>
        <w:ind w:left="2160" w:hanging="360"/>
      </w:pPr>
      <w:rPr>
        <w:rFonts w:ascii="Ericsson Capital TT" w:hAnsi="Ericsson Capital TT" w:hint="default"/>
      </w:rPr>
    </w:lvl>
    <w:lvl w:ilvl="3" w:tplc="E95CFE8C" w:tentative="1">
      <w:start w:val="1"/>
      <w:numFmt w:val="bullet"/>
      <w:lvlText w:val="–"/>
      <w:lvlJc w:val="left"/>
      <w:pPr>
        <w:tabs>
          <w:tab w:val="num" w:pos="2880"/>
        </w:tabs>
        <w:ind w:left="2880" w:hanging="360"/>
      </w:pPr>
      <w:rPr>
        <w:rFonts w:ascii="Ericsson Capital TT" w:hAnsi="Ericsson Capital TT" w:hint="default"/>
      </w:rPr>
    </w:lvl>
    <w:lvl w:ilvl="4" w:tplc="E30E3286" w:tentative="1">
      <w:start w:val="1"/>
      <w:numFmt w:val="bullet"/>
      <w:lvlText w:val="–"/>
      <w:lvlJc w:val="left"/>
      <w:pPr>
        <w:tabs>
          <w:tab w:val="num" w:pos="3600"/>
        </w:tabs>
        <w:ind w:left="3600" w:hanging="360"/>
      </w:pPr>
      <w:rPr>
        <w:rFonts w:ascii="Ericsson Capital TT" w:hAnsi="Ericsson Capital TT" w:hint="default"/>
      </w:rPr>
    </w:lvl>
    <w:lvl w:ilvl="5" w:tplc="8C2ABA2E" w:tentative="1">
      <w:start w:val="1"/>
      <w:numFmt w:val="bullet"/>
      <w:lvlText w:val="–"/>
      <w:lvlJc w:val="left"/>
      <w:pPr>
        <w:tabs>
          <w:tab w:val="num" w:pos="4320"/>
        </w:tabs>
        <w:ind w:left="4320" w:hanging="360"/>
      </w:pPr>
      <w:rPr>
        <w:rFonts w:ascii="Ericsson Capital TT" w:hAnsi="Ericsson Capital TT" w:hint="default"/>
      </w:rPr>
    </w:lvl>
    <w:lvl w:ilvl="6" w:tplc="29261138" w:tentative="1">
      <w:start w:val="1"/>
      <w:numFmt w:val="bullet"/>
      <w:lvlText w:val="–"/>
      <w:lvlJc w:val="left"/>
      <w:pPr>
        <w:tabs>
          <w:tab w:val="num" w:pos="5040"/>
        </w:tabs>
        <w:ind w:left="5040" w:hanging="360"/>
      </w:pPr>
      <w:rPr>
        <w:rFonts w:ascii="Ericsson Capital TT" w:hAnsi="Ericsson Capital TT" w:hint="default"/>
      </w:rPr>
    </w:lvl>
    <w:lvl w:ilvl="7" w:tplc="F648EABA" w:tentative="1">
      <w:start w:val="1"/>
      <w:numFmt w:val="bullet"/>
      <w:lvlText w:val="–"/>
      <w:lvlJc w:val="left"/>
      <w:pPr>
        <w:tabs>
          <w:tab w:val="num" w:pos="5760"/>
        </w:tabs>
        <w:ind w:left="5760" w:hanging="360"/>
      </w:pPr>
      <w:rPr>
        <w:rFonts w:ascii="Ericsson Capital TT" w:hAnsi="Ericsson Capital TT" w:hint="default"/>
      </w:rPr>
    </w:lvl>
    <w:lvl w:ilvl="8" w:tplc="9340AC3A" w:tentative="1">
      <w:start w:val="1"/>
      <w:numFmt w:val="bullet"/>
      <w:lvlText w:val="–"/>
      <w:lvlJc w:val="left"/>
      <w:pPr>
        <w:tabs>
          <w:tab w:val="num" w:pos="6480"/>
        </w:tabs>
        <w:ind w:left="6480" w:hanging="360"/>
      </w:pPr>
      <w:rPr>
        <w:rFonts w:ascii="Ericsson Capital TT" w:hAnsi="Ericsson Capital TT" w:hint="default"/>
      </w:rPr>
    </w:lvl>
  </w:abstractNum>
  <w:abstractNum w:abstractNumId="24" w15:restartNumberingAfterBreak="0">
    <w:nsid w:val="4B151DE2"/>
    <w:multiLevelType w:val="hybridMultilevel"/>
    <w:tmpl w:val="4FFE5A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51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7" w15:restartNumberingAfterBreak="0">
    <w:nsid w:val="57466A60"/>
    <w:multiLevelType w:val="hybridMultilevel"/>
    <w:tmpl w:val="7226A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974707C"/>
    <w:multiLevelType w:val="hybridMultilevel"/>
    <w:tmpl w:val="0AD04426"/>
    <w:lvl w:ilvl="0" w:tplc="D9BA65F0">
      <w:start w:val="1"/>
      <w:numFmt w:val="bullet"/>
      <w:lvlText w:val="•"/>
      <w:lvlJc w:val="left"/>
      <w:pPr>
        <w:tabs>
          <w:tab w:val="num" w:pos="720"/>
        </w:tabs>
        <w:ind w:left="720" w:hanging="360"/>
      </w:pPr>
      <w:rPr>
        <w:rFonts w:ascii="Arial" w:hAnsi="Arial" w:hint="default"/>
      </w:rPr>
    </w:lvl>
    <w:lvl w:ilvl="1" w:tplc="FE0A79E8">
      <w:start w:val="3604"/>
      <w:numFmt w:val="bullet"/>
      <w:lvlText w:val="•"/>
      <w:lvlJc w:val="left"/>
      <w:pPr>
        <w:tabs>
          <w:tab w:val="num" w:pos="1440"/>
        </w:tabs>
        <w:ind w:left="1440" w:hanging="360"/>
      </w:pPr>
      <w:rPr>
        <w:rFonts w:ascii="Arial" w:hAnsi="Arial" w:hint="default"/>
      </w:rPr>
    </w:lvl>
    <w:lvl w:ilvl="2" w:tplc="5560CFD2" w:tentative="1">
      <w:start w:val="1"/>
      <w:numFmt w:val="bullet"/>
      <w:lvlText w:val="•"/>
      <w:lvlJc w:val="left"/>
      <w:pPr>
        <w:tabs>
          <w:tab w:val="num" w:pos="2160"/>
        </w:tabs>
        <w:ind w:left="2160" w:hanging="360"/>
      </w:pPr>
      <w:rPr>
        <w:rFonts w:ascii="Arial" w:hAnsi="Arial" w:hint="default"/>
      </w:rPr>
    </w:lvl>
    <w:lvl w:ilvl="3" w:tplc="5948A622" w:tentative="1">
      <w:start w:val="1"/>
      <w:numFmt w:val="bullet"/>
      <w:lvlText w:val="•"/>
      <w:lvlJc w:val="left"/>
      <w:pPr>
        <w:tabs>
          <w:tab w:val="num" w:pos="2880"/>
        </w:tabs>
        <w:ind w:left="2880" w:hanging="360"/>
      </w:pPr>
      <w:rPr>
        <w:rFonts w:ascii="Arial" w:hAnsi="Arial" w:hint="default"/>
      </w:rPr>
    </w:lvl>
    <w:lvl w:ilvl="4" w:tplc="F628EFF0" w:tentative="1">
      <w:start w:val="1"/>
      <w:numFmt w:val="bullet"/>
      <w:lvlText w:val="•"/>
      <w:lvlJc w:val="left"/>
      <w:pPr>
        <w:tabs>
          <w:tab w:val="num" w:pos="3600"/>
        </w:tabs>
        <w:ind w:left="3600" w:hanging="360"/>
      </w:pPr>
      <w:rPr>
        <w:rFonts w:ascii="Arial" w:hAnsi="Arial" w:hint="default"/>
      </w:rPr>
    </w:lvl>
    <w:lvl w:ilvl="5" w:tplc="90F2FD88" w:tentative="1">
      <w:start w:val="1"/>
      <w:numFmt w:val="bullet"/>
      <w:lvlText w:val="•"/>
      <w:lvlJc w:val="left"/>
      <w:pPr>
        <w:tabs>
          <w:tab w:val="num" w:pos="4320"/>
        </w:tabs>
        <w:ind w:left="4320" w:hanging="360"/>
      </w:pPr>
      <w:rPr>
        <w:rFonts w:ascii="Arial" w:hAnsi="Arial" w:hint="default"/>
      </w:rPr>
    </w:lvl>
    <w:lvl w:ilvl="6" w:tplc="142E8B22" w:tentative="1">
      <w:start w:val="1"/>
      <w:numFmt w:val="bullet"/>
      <w:lvlText w:val="•"/>
      <w:lvlJc w:val="left"/>
      <w:pPr>
        <w:tabs>
          <w:tab w:val="num" w:pos="5040"/>
        </w:tabs>
        <w:ind w:left="5040" w:hanging="360"/>
      </w:pPr>
      <w:rPr>
        <w:rFonts w:ascii="Arial" w:hAnsi="Arial" w:hint="default"/>
      </w:rPr>
    </w:lvl>
    <w:lvl w:ilvl="7" w:tplc="186E9874" w:tentative="1">
      <w:start w:val="1"/>
      <w:numFmt w:val="bullet"/>
      <w:lvlText w:val="•"/>
      <w:lvlJc w:val="left"/>
      <w:pPr>
        <w:tabs>
          <w:tab w:val="num" w:pos="5760"/>
        </w:tabs>
        <w:ind w:left="5760" w:hanging="360"/>
      </w:pPr>
      <w:rPr>
        <w:rFonts w:ascii="Arial" w:hAnsi="Arial" w:hint="default"/>
      </w:rPr>
    </w:lvl>
    <w:lvl w:ilvl="8" w:tplc="221C007E"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9FA0F04"/>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1" w15:restartNumberingAfterBreak="0">
    <w:nsid w:val="5E7A3B6A"/>
    <w:multiLevelType w:val="hybridMultilevel"/>
    <w:tmpl w:val="588674F6"/>
    <w:lvl w:ilvl="0" w:tplc="6EC4F6BE">
      <w:start w:val="1"/>
      <w:numFmt w:val="lowerLetter"/>
      <w:lvlText w:val="(%1)"/>
      <w:lvlJc w:val="left"/>
      <w:pPr>
        <w:ind w:left="1035" w:hanging="360"/>
      </w:pPr>
      <w:rPr>
        <w:rFonts w:hint="default"/>
      </w:rPr>
    </w:lvl>
    <w:lvl w:ilvl="1" w:tplc="04090019" w:tentative="1">
      <w:start w:val="1"/>
      <w:numFmt w:val="lowerLetter"/>
      <w:lvlText w:val="%2."/>
      <w:lvlJc w:val="left"/>
      <w:pPr>
        <w:ind w:left="1755" w:hanging="360"/>
      </w:pPr>
    </w:lvl>
    <w:lvl w:ilvl="2" w:tplc="0409001B" w:tentative="1">
      <w:start w:val="1"/>
      <w:numFmt w:val="lowerRoman"/>
      <w:lvlText w:val="%3."/>
      <w:lvlJc w:val="right"/>
      <w:pPr>
        <w:ind w:left="2475" w:hanging="180"/>
      </w:pPr>
    </w:lvl>
    <w:lvl w:ilvl="3" w:tplc="0409000F" w:tentative="1">
      <w:start w:val="1"/>
      <w:numFmt w:val="decimal"/>
      <w:lvlText w:val="%4."/>
      <w:lvlJc w:val="left"/>
      <w:pPr>
        <w:ind w:left="3195" w:hanging="360"/>
      </w:pPr>
    </w:lvl>
    <w:lvl w:ilvl="4" w:tplc="04090019" w:tentative="1">
      <w:start w:val="1"/>
      <w:numFmt w:val="lowerLetter"/>
      <w:lvlText w:val="%5."/>
      <w:lvlJc w:val="left"/>
      <w:pPr>
        <w:ind w:left="3915" w:hanging="360"/>
      </w:pPr>
    </w:lvl>
    <w:lvl w:ilvl="5" w:tplc="0409001B" w:tentative="1">
      <w:start w:val="1"/>
      <w:numFmt w:val="lowerRoman"/>
      <w:lvlText w:val="%6."/>
      <w:lvlJc w:val="right"/>
      <w:pPr>
        <w:ind w:left="4635" w:hanging="180"/>
      </w:pPr>
    </w:lvl>
    <w:lvl w:ilvl="6" w:tplc="0409000F" w:tentative="1">
      <w:start w:val="1"/>
      <w:numFmt w:val="decimal"/>
      <w:lvlText w:val="%7."/>
      <w:lvlJc w:val="left"/>
      <w:pPr>
        <w:ind w:left="5355" w:hanging="360"/>
      </w:pPr>
    </w:lvl>
    <w:lvl w:ilvl="7" w:tplc="04090019" w:tentative="1">
      <w:start w:val="1"/>
      <w:numFmt w:val="lowerLetter"/>
      <w:lvlText w:val="%8."/>
      <w:lvlJc w:val="left"/>
      <w:pPr>
        <w:ind w:left="6075" w:hanging="360"/>
      </w:pPr>
    </w:lvl>
    <w:lvl w:ilvl="8" w:tplc="0409001B" w:tentative="1">
      <w:start w:val="1"/>
      <w:numFmt w:val="lowerRoman"/>
      <w:lvlText w:val="%9."/>
      <w:lvlJc w:val="right"/>
      <w:pPr>
        <w:ind w:left="6795" w:hanging="180"/>
      </w:pPr>
    </w:lvl>
  </w:abstractNum>
  <w:abstractNum w:abstractNumId="32" w15:restartNumberingAfterBreak="0">
    <w:nsid w:val="65413CAC"/>
    <w:multiLevelType w:val="hybridMultilevel"/>
    <w:tmpl w:val="93FA59CC"/>
    <w:lvl w:ilvl="0" w:tplc="04090001">
      <w:start w:val="1"/>
      <w:numFmt w:val="bullet"/>
      <w:lvlText w:val=""/>
      <w:lvlJc w:val="left"/>
      <w:pPr>
        <w:ind w:left="827" w:hanging="360"/>
      </w:pPr>
      <w:rPr>
        <w:rFonts w:ascii="Symbol" w:hAnsi="Symbol" w:hint="default"/>
      </w:rPr>
    </w:lvl>
    <w:lvl w:ilvl="1" w:tplc="04090003" w:tentative="1">
      <w:start w:val="1"/>
      <w:numFmt w:val="bullet"/>
      <w:lvlText w:val="o"/>
      <w:lvlJc w:val="left"/>
      <w:pPr>
        <w:ind w:left="1547" w:hanging="360"/>
      </w:pPr>
      <w:rPr>
        <w:rFonts w:ascii="Courier New" w:hAnsi="Courier New" w:cs="Courier New" w:hint="default"/>
      </w:rPr>
    </w:lvl>
    <w:lvl w:ilvl="2" w:tplc="04090005" w:tentative="1">
      <w:start w:val="1"/>
      <w:numFmt w:val="bullet"/>
      <w:lvlText w:val=""/>
      <w:lvlJc w:val="left"/>
      <w:pPr>
        <w:ind w:left="2267" w:hanging="360"/>
      </w:pPr>
      <w:rPr>
        <w:rFonts w:ascii="Wingdings" w:hAnsi="Wingdings" w:hint="default"/>
      </w:rPr>
    </w:lvl>
    <w:lvl w:ilvl="3" w:tplc="04090001" w:tentative="1">
      <w:start w:val="1"/>
      <w:numFmt w:val="bullet"/>
      <w:lvlText w:val=""/>
      <w:lvlJc w:val="left"/>
      <w:pPr>
        <w:ind w:left="2987" w:hanging="360"/>
      </w:pPr>
      <w:rPr>
        <w:rFonts w:ascii="Symbol" w:hAnsi="Symbol" w:hint="default"/>
      </w:rPr>
    </w:lvl>
    <w:lvl w:ilvl="4" w:tplc="04090003" w:tentative="1">
      <w:start w:val="1"/>
      <w:numFmt w:val="bullet"/>
      <w:lvlText w:val="o"/>
      <w:lvlJc w:val="left"/>
      <w:pPr>
        <w:ind w:left="3707" w:hanging="360"/>
      </w:pPr>
      <w:rPr>
        <w:rFonts w:ascii="Courier New" w:hAnsi="Courier New" w:cs="Courier New" w:hint="default"/>
      </w:rPr>
    </w:lvl>
    <w:lvl w:ilvl="5" w:tplc="04090005" w:tentative="1">
      <w:start w:val="1"/>
      <w:numFmt w:val="bullet"/>
      <w:lvlText w:val=""/>
      <w:lvlJc w:val="left"/>
      <w:pPr>
        <w:ind w:left="4427" w:hanging="360"/>
      </w:pPr>
      <w:rPr>
        <w:rFonts w:ascii="Wingdings" w:hAnsi="Wingdings" w:hint="default"/>
      </w:rPr>
    </w:lvl>
    <w:lvl w:ilvl="6" w:tplc="04090001" w:tentative="1">
      <w:start w:val="1"/>
      <w:numFmt w:val="bullet"/>
      <w:lvlText w:val=""/>
      <w:lvlJc w:val="left"/>
      <w:pPr>
        <w:ind w:left="5147" w:hanging="360"/>
      </w:pPr>
      <w:rPr>
        <w:rFonts w:ascii="Symbol" w:hAnsi="Symbol" w:hint="default"/>
      </w:rPr>
    </w:lvl>
    <w:lvl w:ilvl="7" w:tplc="04090003" w:tentative="1">
      <w:start w:val="1"/>
      <w:numFmt w:val="bullet"/>
      <w:lvlText w:val="o"/>
      <w:lvlJc w:val="left"/>
      <w:pPr>
        <w:ind w:left="5867" w:hanging="360"/>
      </w:pPr>
      <w:rPr>
        <w:rFonts w:ascii="Courier New" w:hAnsi="Courier New" w:cs="Courier New" w:hint="default"/>
      </w:rPr>
    </w:lvl>
    <w:lvl w:ilvl="8" w:tplc="04090005" w:tentative="1">
      <w:start w:val="1"/>
      <w:numFmt w:val="bullet"/>
      <w:lvlText w:val=""/>
      <w:lvlJc w:val="left"/>
      <w:pPr>
        <w:ind w:left="6587" w:hanging="360"/>
      </w:pPr>
      <w:rPr>
        <w:rFonts w:ascii="Wingdings" w:hAnsi="Wingdings" w:hint="default"/>
      </w:rPr>
    </w:lvl>
  </w:abstractNum>
  <w:abstractNum w:abstractNumId="33" w15:restartNumberingAfterBreak="0">
    <w:nsid w:val="69164446"/>
    <w:multiLevelType w:val="hybridMultilevel"/>
    <w:tmpl w:val="013EEC26"/>
    <w:lvl w:ilvl="0" w:tplc="13309074">
      <w:start w:val="1"/>
      <w:numFmt w:val="bullet"/>
      <w:lvlText w:val="•"/>
      <w:lvlJc w:val="left"/>
      <w:pPr>
        <w:tabs>
          <w:tab w:val="num" w:pos="720"/>
        </w:tabs>
        <w:ind w:left="720" w:hanging="360"/>
      </w:pPr>
      <w:rPr>
        <w:rFonts w:ascii="Arial" w:hAnsi="Arial" w:hint="default"/>
      </w:rPr>
    </w:lvl>
    <w:lvl w:ilvl="1" w:tplc="16169BA2">
      <w:start w:val="1914"/>
      <w:numFmt w:val="bullet"/>
      <w:lvlText w:val="–"/>
      <w:lvlJc w:val="left"/>
      <w:pPr>
        <w:tabs>
          <w:tab w:val="num" w:pos="1440"/>
        </w:tabs>
        <w:ind w:left="1440" w:hanging="360"/>
      </w:pPr>
      <w:rPr>
        <w:rFonts w:ascii="Arial" w:hAnsi="Arial" w:hint="default"/>
      </w:rPr>
    </w:lvl>
    <w:lvl w:ilvl="2" w:tplc="3D52DCFC">
      <w:start w:val="1914"/>
      <w:numFmt w:val="bullet"/>
      <w:lvlText w:val="•"/>
      <w:lvlJc w:val="left"/>
      <w:pPr>
        <w:tabs>
          <w:tab w:val="num" w:pos="2160"/>
        </w:tabs>
        <w:ind w:left="2160" w:hanging="360"/>
      </w:pPr>
      <w:rPr>
        <w:rFonts w:ascii="Arial" w:hAnsi="Arial" w:hint="default"/>
      </w:rPr>
    </w:lvl>
    <w:lvl w:ilvl="3" w:tplc="2A880992">
      <w:start w:val="1914"/>
      <w:numFmt w:val="bullet"/>
      <w:lvlText w:val="–"/>
      <w:lvlJc w:val="left"/>
      <w:pPr>
        <w:tabs>
          <w:tab w:val="num" w:pos="2880"/>
        </w:tabs>
        <w:ind w:left="2880" w:hanging="360"/>
      </w:pPr>
      <w:rPr>
        <w:rFonts w:ascii="Arial" w:hAnsi="Arial" w:hint="default"/>
      </w:rPr>
    </w:lvl>
    <w:lvl w:ilvl="4" w:tplc="86CA55FE">
      <w:start w:val="1914"/>
      <w:numFmt w:val="bullet"/>
      <w:lvlText w:val="»"/>
      <w:lvlJc w:val="left"/>
      <w:pPr>
        <w:tabs>
          <w:tab w:val="num" w:pos="3600"/>
        </w:tabs>
        <w:ind w:left="3600" w:hanging="360"/>
      </w:pPr>
      <w:rPr>
        <w:rFonts w:ascii="Arial" w:hAnsi="Arial" w:hint="default"/>
      </w:rPr>
    </w:lvl>
    <w:lvl w:ilvl="5" w:tplc="896C96A4" w:tentative="1">
      <w:start w:val="1"/>
      <w:numFmt w:val="bullet"/>
      <w:lvlText w:val="•"/>
      <w:lvlJc w:val="left"/>
      <w:pPr>
        <w:tabs>
          <w:tab w:val="num" w:pos="4320"/>
        </w:tabs>
        <w:ind w:left="4320" w:hanging="360"/>
      </w:pPr>
      <w:rPr>
        <w:rFonts w:ascii="Arial" w:hAnsi="Arial" w:hint="default"/>
      </w:rPr>
    </w:lvl>
    <w:lvl w:ilvl="6" w:tplc="BF5E0B1A" w:tentative="1">
      <w:start w:val="1"/>
      <w:numFmt w:val="bullet"/>
      <w:lvlText w:val="•"/>
      <w:lvlJc w:val="left"/>
      <w:pPr>
        <w:tabs>
          <w:tab w:val="num" w:pos="5040"/>
        </w:tabs>
        <w:ind w:left="5040" w:hanging="360"/>
      </w:pPr>
      <w:rPr>
        <w:rFonts w:ascii="Arial" w:hAnsi="Arial" w:hint="default"/>
      </w:rPr>
    </w:lvl>
    <w:lvl w:ilvl="7" w:tplc="4E347782" w:tentative="1">
      <w:start w:val="1"/>
      <w:numFmt w:val="bullet"/>
      <w:lvlText w:val="•"/>
      <w:lvlJc w:val="left"/>
      <w:pPr>
        <w:tabs>
          <w:tab w:val="num" w:pos="5760"/>
        </w:tabs>
        <w:ind w:left="5760" w:hanging="360"/>
      </w:pPr>
      <w:rPr>
        <w:rFonts w:ascii="Arial" w:hAnsi="Arial" w:hint="default"/>
      </w:rPr>
    </w:lvl>
    <w:lvl w:ilvl="8" w:tplc="23F86556"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num w:numId="1">
    <w:abstractNumId w:val="4"/>
  </w:num>
  <w:num w:numId="2">
    <w:abstractNumId w:val="25"/>
  </w:num>
  <w:num w:numId="3">
    <w:abstractNumId w:val="16"/>
  </w:num>
  <w:num w:numId="4">
    <w:abstractNumId w:val="17"/>
  </w:num>
  <w:num w:numId="5">
    <w:abstractNumId w:val="14"/>
  </w:num>
  <w:num w:numId="6">
    <w:abstractNumId w:val="20"/>
  </w:num>
  <w:num w:numId="7">
    <w:abstractNumId w:val="28"/>
  </w:num>
  <w:num w:numId="8">
    <w:abstractNumId w:val="15"/>
  </w:num>
  <w:num w:numId="9">
    <w:abstractNumId w:val="11"/>
  </w:num>
  <w:num w:numId="10">
    <w:abstractNumId w:val="2"/>
  </w:num>
  <w:num w:numId="11">
    <w:abstractNumId w:val="1"/>
  </w:num>
  <w:num w:numId="12">
    <w:abstractNumId w:val="0"/>
  </w:num>
  <w:num w:numId="13">
    <w:abstractNumId w:val="26"/>
  </w:num>
  <w:num w:numId="14">
    <w:abstractNumId w:val="5"/>
  </w:num>
  <w:num w:numId="15">
    <w:abstractNumId w:val="7"/>
  </w:num>
  <w:num w:numId="16">
    <w:abstractNumId w:val="3"/>
  </w:num>
  <w:num w:numId="17">
    <w:abstractNumId w:val="31"/>
  </w:num>
  <w:num w:numId="18">
    <w:abstractNumId w:val="30"/>
  </w:num>
  <w:num w:numId="19">
    <w:abstractNumId w:val="29"/>
  </w:num>
  <w:num w:numId="20">
    <w:abstractNumId w:val="21"/>
  </w:num>
  <w:num w:numId="21">
    <w:abstractNumId w:val="18"/>
  </w:num>
  <w:num w:numId="22">
    <w:abstractNumId w:val="9"/>
  </w:num>
  <w:num w:numId="23">
    <w:abstractNumId w:val="10"/>
  </w:num>
  <w:num w:numId="24">
    <w:abstractNumId w:val="13"/>
  </w:num>
  <w:num w:numId="25">
    <w:abstractNumId w:val="19"/>
  </w:num>
  <w:num w:numId="26">
    <w:abstractNumId w:val="22"/>
  </w:num>
  <w:num w:numId="27">
    <w:abstractNumId w:val="32"/>
  </w:num>
  <w:num w:numId="28">
    <w:abstractNumId w:val="6"/>
  </w:num>
  <w:num w:numId="29">
    <w:abstractNumId w:val="33"/>
  </w:num>
  <w:num w:numId="30">
    <w:abstractNumId w:val="27"/>
  </w:num>
  <w:num w:numId="31">
    <w:abstractNumId w:val="8"/>
  </w:num>
  <w:num w:numId="32">
    <w:abstractNumId w:val="23"/>
  </w:num>
  <w:num w:numId="33">
    <w:abstractNumId w:val="12"/>
  </w:num>
  <w:num w:numId="34">
    <w:abstractNumId w:val="34"/>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removePersonalInformation/>
  <w:removeDateAndTime/>
  <w:doNotDisplayPageBoundaries/>
  <w:printFractionalCharacterWidth/>
  <w:activeWritingStyle w:appName="MSWord" w:lang="en-US" w:vendorID="64" w:dllVersion="131078" w:nlCheck="1" w:checkStyle="1"/>
  <w:activeWritingStyle w:appName="MSWord" w:lang="en-GB" w:vendorID="64" w:dllVersion="131078" w:nlCheck="1" w:checkStyle="0"/>
  <w:activeWritingStyle w:appName="MSWord" w:lang="de-DE" w:vendorID="64" w:dllVersion="131078" w:nlCheck="1" w:checkStyle="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0D93"/>
    <w:rsid w:val="00000576"/>
    <w:rsid w:val="000006E1"/>
    <w:rsid w:val="00002A37"/>
    <w:rsid w:val="000062B1"/>
    <w:rsid w:val="00006446"/>
    <w:rsid w:val="00006896"/>
    <w:rsid w:val="00007CDC"/>
    <w:rsid w:val="00010DDF"/>
    <w:rsid w:val="00011B28"/>
    <w:rsid w:val="00012DD2"/>
    <w:rsid w:val="0001458C"/>
    <w:rsid w:val="00015D15"/>
    <w:rsid w:val="00017BCE"/>
    <w:rsid w:val="0002564D"/>
    <w:rsid w:val="00025ECA"/>
    <w:rsid w:val="00030671"/>
    <w:rsid w:val="00030CF8"/>
    <w:rsid w:val="000325B8"/>
    <w:rsid w:val="00034C15"/>
    <w:rsid w:val="00036BA1"/>
    <w:rsid w:val="000422E2"/>
    <w:rsid w:val="00042F22"/>
    <w:rsid w:val="000444EF"/>
    <w:rsid w:val="00044D2B"/>
    <w:rsid w:val="00045753"/>
    <w:rsid w:val="00052A07"/>
    <w:rsid w:val="000534E3"/>
    <w:rsid w:val="0005606A"/>
    <w:rsid w:val="00057117"/>
    <w:rsid w:val="000616E7"/>
    <w:rsid w:val="0006487E"/>
    <w:rsid w:val="00065836"/>
    <w:rsid w:val="0006590A"/>
    <w:rsid w:val="00065E1A"/>
    <w:rsid w:val="00065E56"/>
    <w:rsid w:val="0007184A"/>
    <w:rsid w:val="0007765E"/>
    <w:rsid w:val="00077E5F"/>
    <w:rsid w:val="0008036A"/>
    <w:rsid w:val="00081AE6"/>
    <w:rsid w:val="00083B5E"/>
    <w:rsid w:val="000855EB"/>
    <w:rsid w:val="00085B52"/>
    <w:rsid w:val="000866F2"/>
    <w:rsid w:val="0008795C"/>
    <w:rsid w:val="0009009F"/>
    <w:rsid w:val="00091557"/>
    <w:rsid w:val="000924C1"/>
    <w:rsid w:val="000924F0"/>
    <w:rsid w:val="00093474"/>
    <w:rsid w:val="0009510F"/>
    <w:rsid w:val="000A1B7B"/>
    <w:rsid w:val="000A1D6A"/>
    <w:rsid w:val="000A3993"/>
    <w:rsid w:val="000A56F2"/>
    <w:rsid w:val="000A6372"/>
    <w:rsid w:val="000A6AAE"/>
    <w:rsid w:val="000B2719"/>
    <w:rsid w:val="000B3A8F"/>
    <w:rsid w:val="000B4AB9"/>
    <w:rsid w:val="000B58C3"/>
    <w:rsid w:val="000B61E9"/>
    <w:rsid w:val="000C165A"/>
    <w:rsid w:val="000C2E19"/>
    <w:rsid w:val="000D0791"/>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EC5"/>
    <w:rsid w:val="0012377F"/>
    <w:rsid w:val="00124314"/>
    <w:rsid w:val="00126B4A"/>
    <w:rsid w:val="001273B9"/>
    <w:rsid w:val="0013279D"/>
    <w:rsid w:val="00132FD0"/>
    <w:rsid w:val="00134067"/>
    <w:rsid w:val="001344C0"/>
    <w:rsid w:val="001346FA"/>
    <w:rsid w:val="00135252"/>
    <w:rsid w:val="001364D3"/>
    <w:rsid w:val="00137AB5"/>
    <w:rsid w:val="00137F0B"/>
    <w:rsid w:val="00141953"/>
    <w:rsid w:val="00143C60"/>
    <w:rsid w:val="001469BD"/>
    <w:rsid w:val="0014768F"/>
    <w:rsid w:val="0015064E"/>
    <w:rsid w:val="00151E23"/>
    <w:rsid w:val="001526E0"/>
    <w:rsid w:val="00153564"/>
    <w:rsid w:val="00153A82"/>
    <w:rsid w:val="001551B5"/>
    <w:rsid w:val="001559EF"/>
    <w:rsid w:val="00160727"/>
    <w:rsid w:val="001659C1"/>
    <w:rsid w:val="00173A8E"/>
    <w:rsid w:val="001811D0"/>
    <w:rsid w:val="0018143F"/>
    <w:rsid w:val="00190AC1"/>
    <w:rsid w:val="00191E67"/>
    <w:rsid w:val="0019341A"/>
    <w:rsid w:val="00197DF9"/>
    <w:rsid w:val="001A05FA"/>
    <w:rsid w:val="001A1987"/>
    <w:rsid w:val="001A2564"/>
    <w:rsid w:val="001A6173"/>
    <w:rsid w:val="001A6CBA"/>
    <w:rsid w:val="001B0D97"/>
    <w:rsid w:val="001B5A5D"/>
    <w:rsid w:val="001C1CE5"/>
    <w:rsid w:val="001C3D2A"/>
    <w:rsid w:val="001C7D86"/>
    <w:rsid w:val="001D2BCC"/>
    <w:rsid w:val="001D46B5"/>
    <w:rsid w:val="001D51BA"/>
    <w:rsid w:val="001D6342"/>
    <w:rsid w:val="001D6D53"/>
    <w:rsid w:val="001E26C0"/>
    <w:rsid w:val="001E58E2"/>
    <w:rsid w:val="001E728A"/>
    <w:rsid w:val="001E7616"/>
    <w:rsid w:val="001E7AED"/>
    <w:rsid w:val="001F3916"/>
    <w:rsid w:val="001F54C5"/>
    <w:rsid w:val="001F5EA0"/>
    <w:rsid w:val="001F662C"/>
    <w:rsid w:val="001F7074"/>
    <w:rsid w:val="00200490"/>
    <w:rsid w:val="00201F3A"/>
    <w:rsid w:val="00203F96"/>
    <w:rsid w:val="002069B2"/>
    <w:rsid w:val="002069E9"/>
    <w:rsid w:val="00207FA3"/>
    <w:rsid w:val="00213976"/>
    <w:rsid w:val="00214DA8"/>
    <w:rsid w:val="00215423"/>
    <w:rsid w:val="002158FA"/>
    <w:rsid w:val="0021758B"/>
    <w:rsid w:val="00220600"/>
    <w:rsid w:val="002224DB"/>
    <w:rsid w:val="00223FCB"/>
    <w:rsid w:val="002252C3"/>
    <w:rsid w:val="0022588C"/>
    <w:rsid w:val="00225C54"/>
    <w:rsid w:val="00230765"/>
    <w:rsid w:val="002319E4"/>
    <w:rsid w:val="002333C7"/>
    <w:rsid w:val="00235632"/>
    <w:rsid w:val="00235872"/>
    <w:rsid w:val="00241559"/>
    <w:rsid w:val="002435B3"/>
    <w:rsid w:val="002451ED"/>
    <w:rsid w:val="002458EB"/>
    <w:rsid w:val="002500C8"/>
    <w:rsid w:val="00250DC3"/>
    <w:rsid w:val="00254380"/>
    <w:rsid w:val="00257543"/>
    <w:rsid w:val="002617E7"/>
    <w:rsid w:val="00264228"/>
    <w:rsid w:val="00264334"/>
    <w:rsid w:val="0026473E"/>
    <w:rsid w:val="00266214"/>
    <w:rsid w:val="002672D9"/>
    <w:rsid w:val="00267C83"/>
    <w:rsid w:val="0027144F"/>
    <w:rsid w:val="00271813"/>
    <w:rsid w:val="00271F3A"/>
    <w:rsid w:val="00273278"/>
    <w:rsid w:val="002737F4"/>
    <w:rsid w:val="00276F29"/>
    <w:rsid w:val="002805F5"/>
    <w:rsid w:val="00280751"/>
    <w:rsid w:val="00281EE3"/>
    <w:rsid w:val="0028280A"/>
    <w:rsid w:val="0028438C"/>
    <w:rsid w:val="00286ACD"/>
    <w:rsid w:val="00287838"/>
    <w:rsid w:val="002907B5"/>
    <w:rsid w:val="00292049"/>
    <w:rsid w:val="00292EB7"/>
    <w:rsid w:val="00296227"/>
    <w:rsid w:val="00296F44"/>
    <w:rsid w:val="0029777D"/>
    <w:rsid w:val="002A055E"/>
    <w:rsid w:val="002A1D4E"/>
    <w:rsid w:val="002A2869"/>
    <w:rsid w:val="002A37D5"/>
    <w:rsid w:val="002A7741"/>
    <w:rsid w:val="002B24D6"/>
    <w:rsid w:val="002B3B26"/>
    <w:rsid w:val="002C013E"/>
    <w:rsid w:val="002C0880"/>
    <w:rsid w:val="002C41E6"/>
    <w:rsid w:val="002C5220"/>
    <w:rsid w:val="002D071A"/>
    <w:rsid w:val="002D34B2"/>
    <w:rsid w:val="002D7637"/>
    <w:rsid w:val="002D799F"/>
    <w:rsid w:val="002E140D"/>
    <w:rsid w:val="002E17F2"/>
    <w:rsid w:val="002E3304"/>
    <w:rsid w:val="002E7CAE"/>
    <w:rsid w:val="002F1180"/>
    <w:rsid w:val="002F2771"/>
    <w:rsid w:val="002F37A9"/>
    <w:rsid w:val="002F67D0"/>
    <w:rsid w:val="00301CE6"/>
    <w:rsid w:val="0030256B"/>
    <w:rsid w:val="003036B2"/>
    <w:rsid w:val="0030501F"/>
    <w:rsid w:val="0030729F"/>
    <w:rsid w:val="00307BA1"/>
    <w:rsid w:val="00307D44"/>
    <w:rsid w:val="00311702"/>
    <w:rsid w:val="00311E82"/>
    <w:rsid w:val="00313FD6"/>
    <w:rsid w:val="003143BD"/>
    <w:rsid w:val="00315391"/>
    <w:rsid w:val="003202FD"/>
    <w:rsid w:val="003203ED"/>
    <w:rsid w:val="00322C9F"/>
    <w:rsid w:val="00323DF1"/>
    <w:rsid w:val="00324D23"/>
    <w:rsid w:val="003250F2"/>
    <w:rsid w:val="003269F8"/>
    <w:rsid w:val="00327997"/>
    <w:rsid w:val="00327D73"/>
    <w:rsid w:val="00331751"/>
    <w:rsid w:val="00334579"/>
    <w:rsid w:val="00335858"/>
    <w:rsid w:val="003358C9"/>
    <w:rsid w:val="00336BDA"/>
    <w:rsid w:val="00342BD7"/>
    <w:rsid w:val="0034425C"/>
    <w:rsid w:val="00346DB5"/>
    <w:rsid w:val="003477B1"/>
    <w:rsid w:val="00357380"/>
    <w:rsid w:val="003602D9"/>
    <w:rsid w:val="003604CE"/>
    <w:rsid w:val="003637B0"/>
    <w:rsid w:val="00363861"/>
    <w:rsid w:val="00363C13"/>
    <w:rsid w:val="00370E47"/>
    <w:rsid w:val="003742AC"/>
    <w:rsid w:val="00376F95"/>
    <w:rsid w:val="00377CE1"/>
    <w:rsid w:val="00385BF0"/>
    <w:rsid w:val="00385DD3"/>
    <w:rsid w:val="0039075B"/>
    <w:rsid w:val="0039291E"/>
    <w:rsid w:val="003939FF"/>
    <w:rsid w:val="003950FF"/>
    <w:rsid w:val="00396529"/>
    <w:rsid w:val="003A2223"/>
    <w:rsid w:val="003A2A0F"/>
    <w:rsid w:val="003A45A1"/>
    <w:rsid w:val="003A5B0A"/>
    <w:rsid w:val="003A6BAC"/>
    <w:rsid w:val="003A718A"/>
    <w:rsid w:val="003A7EF3"/>
    <w:rsid w:val="003B159C"/>
    <w:rsid w:val="003B369F"/>
    <w:rsid w:val="003B36A3"/>
    <w:rsid w:val="003B5057"/>
    <w:rsid w:val="003B7FE5"/>
    <w:rsid w:val="003C11C8"/>
    <w:rsid w:val="003C14AE"/>
    <w:rsid w:val="003C2702"/>
    <w:rsid w:val="003C76AC"/>
    <w:rsid w:val="003C7806"/>
    <w:rsid w:val="003D109F"/>
    <w:rsid w:val="003D1915"/>
    <w:rsid w:val="003D2478"/>
    <w:rsid w:val="003D3C45"/>
    <w:rsid w:val="003D4B0C"/>
    <w:rsid w:val="003D5493"/>
    <w:rsid w:val="003D5B1F"/>
    <w:rsid w:val="003D6906"/>
    <w:rsid w:val="003E15FA"/>
    <w:rsid w:val="003E4E80"/>
    <w:rsid w:val="003E55E4"/>
    <w:rsid w:val="003E74E3"/>
    <w:rsid w:val="003F05C7"/>
    <w:rsid w:val="003F2585"/>
    <w:rsid w:val="003F2CD4"/>
    <w:rsid w:val="003F6BBE"/>
    <w:rsid w:val="004000E8"/>
    <w:rsid w:val="00402E2B"/>
    <w:rsid w:val="004050EA"/>
    <w:rsid w:val="0040512B"/>
    <w:rsid w:val="00405CA5"/>
    <w:rsid w:val="00407CD3"/>
    <w:rsid w:val="00410134"/>
    <w:rsid w:val="00410B72"/>
    <w:rsid w:val="00410F18"/>
    <w:rsid w:val="0041263E"/>
    <w:rsid w:val="00413AAC"/>
    <w:rsid w:val="00413E92"/>
    <w:rsid w:val="00413EBA"/>
    <w:rsid w:val="00421105"/>
    <w:rsid w:val="004242F4"/>
    <w:rsid w:val="004270BD"/>
    <w:rsid w:val="00427248"/>
    <w:rsid w:val="00427D3D"/>
    <w:rsid w:val="004307DE"/>
    <w:rsid w:val="00437447"/>
    <w:rsid w:val="00441A92"/>
    <w:rsid w:val="00444F56"/>
    <w:rsid w:val="00445AD8"/>
    <w:rsid w:val="00446488"/>
    <w:rsid w:val="004468FA"/>
    <w:rsid w:val="004517AA"/>
    <w:rsid w:val="00452CAC"/>
    <w:rsid w:val="00455237"/>
    <w:rsid w:val="00457565"/>
    <w:rsid w:val="00457B71"/>
    <w:rsid w:val="004616B8"/>
    <w:rsid w:val="00464BAE"/>
    <w:rsid w:val="004669E2"/>
    <w:rsid w:val="00466BA3"/>
    <w:rsid w:val="00470C31"/>
    <w:rsid w:val="00470F81"/>
    <w:rsid w:val="004729B8"/>
    <w:rsid w:val="004734D0"/>
    <w:rsid w:val="00474185"/>
    <w:rsid w:val="0047556B"/>
    <w:rsid w:val="00477768"/>
    <w:rsid w:val="00484691"/>
    <w:rsid w:val="00492BC5"/>
    <w:rsid w:val="004964F1"/>
    <w:rsid w:val="004A16BC"/>
    <w:rsid w:val="004A2B94"/>
    <w:rsid w:val="004B7C0C"/>
    <w:rsid w:val="004C3898"/>
    <w:rsid w:val="004C7BF7"/>
    <w:rsid w:val="004D156E"/>
    <w:rsid w:val="004D36B1"/>
    <w:rsid w:val="004D7CF5"/>
    <w:rsid w:val="004D7EBD"/>
    <w:rsid w:val="004E2680"/>
    <w:rsid w:val="004E28F9"/>
    <w:rsid w:val="004E462E"/>
    <w:rsid w:val="004E56DC"/>
    <w:rsid w:val="004E6144"/>
    <w:rsid w:val="004E76F4"/>
    <w:rsid w:val="004F0B4E"/>
    <w:rsid w:val="004F0B6C"/>
    <w:rsid w:val="004F2078"/>
    <w:rsid w:val="004F406A"/>
    <w:rsid w:val="004F4DA3"/>
    <w:rsid w:val="004F6875"/>
    <w:rsid w:val="0050249F"/>
    <w:rsid w:val="0050328C"/>
    <w:rsid w:val="00506557"/>
    <w:rsid w:val="0050677A"/>
    <w:rsid w:val="005108D8"/>
    <w:rsid w:val="005116F9"/>
    <w:rsid w:val="005153A7"/>
    <w:rsid w:val="005159C4"/>
    <w:rsid w:val="00517084"/>
    <w:rsid w:val="00521448"/>
    <w:rsid w:val="005219CF"/>
    <w:rsid w:val="00523406"/>
    <w:rsid w:val="00531D96"/>
    <w:rsid w:val="00534B59"/>
    <w:rsid w:val="00536759"/>
    <w:rsid w:val="00537C62"/>
    <w:rsid w:val="00544092"/>
    <w:rsid w:val="005443A4"/>
    <w:rsid w:val="00544599"/>
    <w:rsid w:val="005458AF"/>
    <w:rsid w:val="00546970"/>
    <w:rsid w:val="00554E19"/>
    <w:rsid w:val="0056121F"/>
    <w:rsid w:val="005621B9"/>
    <w:rsid w:val="00563104"/>
    <w:rsid w:val="0056725A"/>
    <w:rsid w:val="00572505"/>
    <w:rsid w:val="00573A65"/>
    <w:rsid w:val="0058251D"/>
    <w:rsid w:val="00582809"/>
    <w:rsid w:val="0058798C"/>
    <w:rsid w:val="005900FA"/>
    <w:rsid w:val="005935A4"/>
    <w:rsid w:val="00593C8A"/>
    <w:rsid w:val="005948C2"/>
    <w:rsid w:val="00595DCA"/>
    <w:rsid w:val="00596B15"/>
    <w:rsid w:val="0059779B"/>
    <w:rsid w:val="005A209A"/>
    <w:rsid w:val="005A662D"/>
    <w:rsid w:val="005B35D7"/>
    <w:rsid w:val="005B392A"/>
    <w:rsid w:val="005B3AA3"/>
    <w:rsid w:val="005B6F83"/>
    <w:rsid w:val="005C3E39"/>
    <w:rsid w:val="005C74FB"/>
    <w:rsid w:val="005D1602"/>
    <w:rsid w:val="005D2D73"/>
    <w:rsid w:val="005D6A5F"/>
    <w:rsid w:val="005D7F3F"/>
    <w:rsid w:val="005E00B4"/>
    <w:rsid w:val="005E385F"/>
    <w:rsid w:val="005E5B81"/>
    <w:rsid w:val="005F0846"/>
    <w:rsid w:val="005F2CB1"/>
    <w:rsid w:val="005F3025"/>
    <w:rsid w:val="005F525A"/>
    <w:rsid w:val="005F618C"/>
    <w:rsid w:val="005F70BD"/>
    <w:rsid w:val="00600C5A"/>
    <w:rsid w:val="0060283C"/>
    <w:rsid w:val="0060320A"/>
    <w:rsid w:val="00604F14"/>
    <w:rsid w:val="006076DD"/>
    <w:rsid w:val="00611B83"/>
    <w:rsid w:val="00613257"/>
    <w:rsid w:val="00615F46"/>
    <w:rsid w:val="00616A1D"/>
    <w:rsid w:val="00620A71"/>
    <w:rsid w:val="00620D80"/>
    <w:rsid w:val="006234A6"/>
    <w:rsid w:val="006237D9"/>
    <w:rsid w:val="0062549B"/>
    <w:rsid w:val="00630001"/>
    <w:rsid w:val="006311B3"/>
    <w:rsid w:val="0063284C"/>
    <w:rsid w:val="00634A09"/>
    <w:rsid w:val="00634FB9"/>
    <w:rsid w:val="00635D19"/>
    <w:rsid w:val="00636398"/>
    <w:rsid w:val="00636792"/>
    <w:rsid w:val="006368D3"/>
    <w:rsid w:val="006377EC"/>
    <w:rsid w:val="00640811"/>
    <w:rsid w:val="0064151F"/>
    <w:rsid w:val="00641533"/>
    <w:rsid w:val="0064208D"/>
    <w:rsid w:val="00643475"/>
    <w:rsid w:val="0064396A"/>
    <w:rsid w:val="0064624E"/>
    <w:rsid w:val="00650AB9"/>
    <w:rsid w:val="006515ED"/>
    <w:rsid w:val="00655733"/>
    <w:rsid w:val="00655ACD"/>
    <w:rsid w:val="00656A92"/>
    <w:rsid w:val="00656DDE"/>
    <w:rsid w:val="0066011D"/>
    <w:rsid w:val="006607C0"/>
    <w:rsid w:val="006613A6"/>
    <w:rsid w:val="006627A2"/>
    <w:rsid w:val="00662DC9"/>
    <w:rsid w:val="006634E6"/>
    <w:rsid w:val="006655EE"/>
    <w:rsid w:val="006664E7"/>
    <w:rsid w:val="00667EE7"/>
    <w:rsid w:val="00670922"/>
    <w:rsid w:val="00670BE1"/>
    <w:rsid w:val="0067218F"/>
    <w:rsid w:val="006741F2"/>
    <w:rsid w:val="00674CC3"/>
    <w:rsid w:val="00675C72"/>
    <w:rsid w:val="006771F9"/>
    <w:rsid w:val="006776D7"/>
    <w:rsid w:val="00681003"/>
    <w:rsid w:val="006817C9"/>
    <w:rsid w:val="00683ECE"/>
    <w:rsid w:val="00685054"/>
    <w:rsid w:val="0068632E"/>
    <w:rsid w:val="00695FC2"/>
    <w:rsid w:val="00696949"/>
    <w:rsid w:val="00697052"/>
    <w:rsid w:val="006A46FB"/>
    <w:rsid w:val="006A5E28"/>
    <w:rsid w:val="006A697B"/>
    <w:rsid w:val="006A7AFF"/>
    <w:rsid w:val="006B1816"/>
    <w:rsid w:val="006B2099"/>
    <w:rsid w:val="006B50CF"/>
    <w:rsid w:val="006C03B8"/>
    <w:rsid w:val="006C35E8"/>
    <w:rsid w:val="006C5EC9"/>
    <w:rsid w:val="006C6059"/>
    <w:rsid w:val="006C6326"/>
    <w:rsid w:val="006C7522"/>
    <w:rsid w:val="006D6F08"/>
    <w:rsid w:val="006D7DBE"/>
    <w:rsid w:val="006E062C"/>
    <w:rsid w:val="006E1514"/>
    <w:rsid w:val="006E28B7"/>
    <w:rsid w:val="006E3310"/>
    <w:rsid w:val="006E4E39"/>
    <w:rsid w:val="006E565E"/>
    <w:rsid w:val="006E6220"/>
    <w:rsid w:val="006E673D"/>
    <w:rsid w:val="006E753C"/>
    <w:rsid w:val="006E7D3B"/>
    <w:rsid w:val="006F0CD8"/>
    <w:rsid w:val="006F1B70"/>
    <w:rsid w:val="006F341D"/>
    <w:rsid w:val="006F3CDE"/>
    <w:rsid w:val="006F58D4"/>
    <w:rsid w:val="0070346E"/>
    <w:rsid w:val="00704EDB"/>
    <w:rsid w:val="00706101"/>
    <w:rsid w:val="00707072"/>
    <w:rsid w:val="00707D61"/>
    <w:rsid w:val="00712287"/>
    <w:rsid w:val="00712772"/>
    <w:rsid w:val="007148D3"/>
    <w:rsid w:val="00715B9A"/>
    <w:rsid w:val="007173C4"/>
    <w:rsid w:val="007265BB"/>
    <w:rsid w:val="00726EA6"/>
    <w:rsid w:val="00727208"/>
    <w:rsid w:val="00727680"/>
    <w:rsid w:val="007348B1"/>
    <w:rsid w:val="007362A6"/>
    <w:rsid w:val="00736D7D"/>
    <w:rsid w:val="00740E58"/>
    <w:rsid w:val="007445A0"/>
    <w:rsid w:val="0074524B"/>
    <w:rsid w:val="00745AB6"/>
    <w:rsid w:val="00746441"/>
    <w:rsid w:val="00746AEC"/>
    <w:rsid w:val="00747D8B"/>
    <w:rsid w:val="00750306"/>
    <w:rsid w:val="00751228"/>
    <w:rsid w:val="007571E1"/>
    <w:rsid w:val="007604B2"/>
    <w:rsid w:val="00765281"/>
    <w:rsid w:val="00766BAD"/>
    <w:rsid w:val="00767002"/>
    <w:rsid w:val="007755F2"/>
    <w:rsid w:val="00776971"/>
    <w:rsid w:val="0078177E"/>
    <w:rsid w:val="0078304C"/>
    <w:rsid w:val="00783673"/>
    <w:rsid w:val="0078515C"/>
    <w:rsid w:val="00785490"/>
    <w:rsid w:val="0078680D"/>
    <w:rsid w:val="00790B99"/>
    <w:rsid w:val="00791D1E"/>
    <w:rsid w:val="007925EA"/>
    <w:rsid w:val="00793CD8"/>
    <w:rsid w:val="00794231"/>
    <w:rsid w:val="00795C92"/>
    <w:rsid w:val="00796231"/>
    <w:rsid w:val="007A1CB3"/>
    <w:rsid w:val="007A306F"/>
    <w:rsid w:val="007A43A6"/>
    <w:rsid w:val="007A58A6"/>
    <w:rsid w:val="007A610C"/>
    <w:rsid w:val="007B1E03"/>
    <w:rsid w:val="007B2168"/>
    <w:rsid w:val="007B2555"/>
    <w:rsid w:val="007B26EC"/>
    <w:rsid w:val="007B35AF"/>
    <w:rsid w:val="007B38A7"/>
    <w:rsid w:val="007B3D2D"/>
    <w:rsid w:val="007B50AE"/>
    <w:rsid w:val="007B51DF"/>
    <w:rsid w:val="007C05DD"/>
    <w:rsid w:val="007C3D18"/>
    <w:rsid w:val="007C60BF"/>
    <w:rsid w:val="007C6A07"/>
    <w:rsid w:val="007C6BE6"/>
    <w:rsid w:val="007C75A1"/>
    <w:rsid w:val="007C77A5"/>
    <w:rsid w:val="007D04E5"/>
    <w:rsid w:val="007D5901"/>
    <w:rsid w:val="007D7526"/>
    <w:rsid w:val="007E0E5D"/>
    <w:rsid w:val="007E4610"/>
    <w:rsid w:val="007E4715"/>
    <w:rsid w:val="007E505B"/>
    <w:rsid w:val="007E7091"/>
    <w:rsid w:val="007F3FDD"/>
    <w:rsid w:val="007F5362"/>
    <w:rsid w:val="007F5E10"/>
    <w:rsid w:val="00803FAE"/>
    <w:rsid w:val="0080605F"/>
    <w:rsid w:val="00807786"/>
    <w:rsid w:val="00811FCB"/>
    <w:rsid w:val="00812E2C"/>
    <w:rsid w:val="0081504C"/>
    <w:rsid w:val="008158D6"/>
    <w:rsid w:val="00817196"/>
    <w:rsid w:val="008235DB"/>
    <w:rsid w:val="00824AB4"/>
    <w:rsid w:val="00825C42"/>
    <w:rsid w:val="00825D25"/>
    <w:rsid w:val="00826BA8"/>
    <w:rsid w:val="00827D6F"/>
    <w:rsid w:val="00837088"/>
    <w:rsid w:val="008376AC"/>
    <w:rsid w:val="0084355A"/>
    <w:rsid w:val="008444E8"/>
    <w:rsid w:val="00844E80"/>
    <w:rsid w:val="00846FE7"/>
    <w:rsid w:val="00850A94"/>
    <w:rsid w:val="0085287B"/>
    <w:rsid w:val="00855693"/>
    <w:rsid w:val="00856911"/>
    <w:rsid w:val="00866080"/>
    <w:rsid w:val="00866787"/>
    <w:rsid w:val="008677FD"/>
    <w:rsid w:val="00867C02"/>
    <w:rsid w:val="0087017A"/>
    <w:rsid w:val="008706D4"/>
    <w:rsid w:val="00870F8A"/>
    <w:rsid w:val="008719A4"/>
    <w:rsid w:val="00871D23"/>
    <w:rsid w:val="00872A62"/>
    <w:rsid w:val="00874312"/>
    <w:rsid w:val="0087437C"/>
    <w:rsid w:val="00875CD7"/>
    <w:rsid w:val="00876859"/>
    <w:rsid w:val="00876B4D"/>
    <w:rsid w:val="00877F18"/>
    <w:rsid w:val="00881294"/>
    <w:rsid w:val="00892BA0"/>
    <w:rsid w:val="00894A88"/>
    <w:rsid w:val="00895386"/>
    <w:rsid w:val="008A21FF"/>
    <w:rsid w:val="008A2CE2"/>
    <w:rsid w:val="008A30AC"/>
    <w:rsid w:val="008A44B8"/>
    <w:rsid w:val="008A51A8"/>
    <w:rsid w:val="008A54C7"/>
    <w:rsid w:val="008A6AAC"/>
    <w:rsid w:val="008A77D8"/>
    <w:rsid w:val="008B0483"/>
    <w:rsid w:val="008B0B95"/>
    <w:rsid w:val="008B120C"/>
    <w:rsid w:val="008B51A0"/>
    <w:rsid w:val="008B5335"/>
    <w:rsid w:val="008B592A"/>
    <w:rsid w:val="008B7B5C"/>
    <w:rsid w:val="008C0C99"/>
    <w:rsid w:val="008C2017"/>
    <w:rsid w:val="008C4958"/>
    <w:rsid w:val="008C4BAA"/>
    <w:rsid w:val="008C6AE8"/>
    <w:rsid w:val="008C70A6"/>
    <w:rsid w:val="008C7573"/>
    <w:rsid w:val="008D19E3"/>
    <w:rsid w:val="008D34F1"/>
    <w:rsid w:val="008D39D8"/>
    <w:rsid w:val="008D6D1A"/>
    <w:rsid w:val="008E065E"/>
    <w:rsid w:val="008E0927"/>
    <w:rsid w:val="008E1909"/>
    <w:rsid w:val="008F144F"/>
    <w:rsid w:val="008F1EAB"/>
    <w:rsid w:val="008F33DC"/>
    <w:rsid w:val="008F39A7"/>
    <w:rsid w:val="008F477F"/>
    <w:rsid w:val="00902350"/>
    <w:rsid w:val="0090336B"/>
    <w:rsid w:val="009053AA"/>
    <w:rsid w:val="00906939"/>
    <w:rsid w:val="00910B7D"/>
    <w:rsid w:val="00911DFB"/>
    <w:rsid w:val="009139D9"/>
    <w:rsid w:val="00914AD8"/>
    <w:rsid w:val="00916079"/>
    <w:rsid w:val="00917CE9"/>
    <w:rsid w:val="00920BF2"/>
    <w:rsid w:val="0092159B"/>
    <w:rsid w:val="00922010"/>
    <w:rsid w:val="00930DAB"/>
    <w:rsid w:val="00931BD9"/>
    <w:rsid w:val="009363F1"/>
    <w:rsid w:val="009368F3"/>
    <w:rsid w:val="00940CE9"/>
    <w:rsid w:val="00941576"/>
    <w:rsid w:val="00941636"/>
    <w:rsid w:val="00943742"/>
    <w:rsid w:val="00945C05"/>
    <w:rsid w:val="00946945"/>
    <w:rsid w:val="00947713"/>
    <w:rsid w:val="00950DE7"/>
    <w:rsid w:val="00952A24"/>
    <w:rsid w:val="00953266"/>
    <w:rsid w:val="00953920"/>
    <w:rsid w:val="00953D47"/>
    <w:rsid w:val="0095670A"/>
    <w:rsid w:val="0095681E"/>
    <w:rsid w:val="009572D4"/>
    <w:rsid w:val="00961921"/>
    <w:rsid w:val="0096430A"/>
    <w:rsid w:val="0096554B"/>
    <w:rsid w:val="0096584A"/>
    <w:rsid w:val="00966733"/>
    <w:rsid w:val="00966C77"/>
    <w:rsid w:val="00970BD4"/>
    <w:rsid w:val="00971F08"/>
    <w:rsid w:val="009720FE"/>
    <w:rsid w:val="0097603D"/>
    <w:rsid w:val="00976949"/>
    <w:rsid w:val="009774A5"/>
    <w:rsid w:val="00977D8F"/>
    <w:rsid w:val="00980477"/>
    <w:rsid w:val="00980A8F"/>
    <w:rsid w:val="00982938"/>
    <w:rsid w:val="00985253"/>
    <w:rsid w:val="009853B3"/>
    <w:rsid w:val="0098675A"/>
    <w:rsid w:val="00990630"/>
    <w:rsid w:val="00991761"/>
    <w:rsid w:val="00994DCA"/>
    <w:rsid w:val="009953C8"/>
    <w:rsid w:val="009960EC"/>
    <w:rsid w:val="009970DD"/>
    <w:rsid w:val="009A0FBA"/>
    <w:rsid w:val="009A1601"/>
    <w:rsid w:val="009A462D"/>
    <w:rsid w:val="009A5CBA"/>
    <w:rsid w:val="009B1F30"/>
    <w:rsid w:val="009B3AC2"/>
    <w:rsid w:val="009B4DF4"/>
    <w:rsid w:val="009B4EAE"/>
    <w:rsid w:val="009B564E"/>
    <w:rsid w:val="009B5D4E"/>
    <w:rsid w:val="009B7E87"/>
    <w:rsid w:val="009C403E"/>
    <w:rsid w:val="009D1552"/>
    <w:rsid w:val="009D4FF0"/>
    <w:rsid w:val="009D6A08"/>
    <w:rsid w:val="009D703C"/>
    <w:rsid w:val="009D718F"/>
    <w:rsid w:val="009D73CF"/>
    <w:rsid w:val="009E068F"/>
    <w:rsid w:val="009E14E0"/>
    <w:rsid w:val="009E35DB"/>
    <w:rsid w:val="009E47A3"/>
    <w:rsid w:val="009F08F3"/>
    <w:rsid w:val="009F1846"/>
    <w:rsid w:val="009F344F"/>
    <w:rsid w:val="00A031D8"/>
    <w:rsid w:val="00A04765"/>
    <w:rsid w:val="00A048A8"/>
    <w:rsid w:val="00A04F49"/>
    <w:rsid w:val="00A070CE"/>
    <w:rsid w:val="00A13A24"/>
    <w:rsid w:val="00A13E54"/>
    <w:rsid w:val="00A15A30"/>
    <w:rsid w:val="00A177C4"/>
    <w:rsid w:val="00A17F63"/>
    <w:rsid w:val="00A20998"/>
    <w:rsid w:val="00A2193B"/>
    <w:rsid w:val="00A2351A"/>
    <w:rsid w:val="00A24E2D"/>
    <w:rsid w:val="00A264A9"/>
    <w:rsid w:val="00A27785"/>
    <w:rsid w:val="00A30187"/>
    <w:rsid w:val="00A318D5"/>
    <w:rsid w:val="00A3448A"/>
    <w:rsid w:val="00A36297"/>
    <w:rsid w:val="00A41E2B"/>
    <w:rsid w:val="00A45B74"/>
    <w:rsid w:val="00A5057E"/>
    <w:rsid w:val="00A52E1D"/>
    <w:rsid w:val="00A61499"/>
    <w:rsid w:val="00A62A77"/>
    <w:rsid w:val="00A63483"/>
    <w:rsid w:val="00A657D7"/>
    <w:rsid w:val="00A660AC"/>
    <w:rsid w:val="00A67D43"/>
    <w:rsid w:val="00A67E6C"/>
    <w:rsid w:val="00A71B99"/>
    <w:rsid w:val="00A739D0"/>
    <w:rsid w:val="00A761D4"/>
    <w:rsid w:val="00A77EC4"/>
    <w:rsid w:val="00A81B9F"/>
    <w:rsid w:val="00A8352F"/>
    <w:rsid w:val="00A85EF6"/>
    <w:rsid w:val="00A92879"/>
    <w:rsid w:val="00A935CF"/>
    <w:rsid w:val="00A9442A"/>
    <w:rsid w:val="00AA016F"/>
    <w:rsid w:val="00AA0C3D"/>
    <w:rsid w:val="00AA1ED6"/>
    <w:rsid w:val="00AA51D6"/>
    <w:rsid w:val="00AB0BC8"/>
    <w:rsid w:val="00AB11CA"/>
    <w:rsid w:val="00AB14D9"/>
    <w:rsid w:val="00AB4AB8"/>
    <w:rsid w:val="00AB655E"/>
    <w:rsid w:val="00AC007F"/>
    <w:rsid w:val="00AC2ECD"/>
    <w:rsid w:val="00AC3119"/>
    <w:rsid w:val="00AC3C74"/>
    <w:rsid w:val="00AC49FB"/>
    <w:rsid w:val="00AC5A10"/>
    <w:rsid w:val="00AD0AA3"/>
    <w:rsid w:val="00AD3F94"/>
    <w:rsid w:val="00AD4A5A"/>
    <w:rsid w:val="00AD5A17"/>
    <w:rsid w:val="00AE27AC"/>
    <w:rsid w:val="00AE40E0"/>
    <w:rsid w:val="00AE4DBA"/>
    <w:rsid w:val="00AE4F07"/>
    <w:rsid w:val="00AF1C5D"/>
    <w:rsid w:val="00AF28CD"/>
    <w:rsid w:val="00AF42D7"/>
    <w:rsid w:val="00B006FE"/>
    <w:rsid w:val="00B007CB"/>
    <w:rsid w:val="00B02AA9"/>
    <w:rsid w:val="00B02FA3"/>
    <w:rsid w:val="00B05084"/>
    <w:rsid w:val="00B06EE1"/>
    <w:rsid w:val="00B07792"/>
    <w:rsid w:val="00B157F9"/>
    <w:rsid w:val="00B20256"/>
    <w:rsid w:val="00B2056A"/>
    <w:rsid w:val="00B20D09"/>
    <w:rsid w:val="00B24F4C"/>
    <w:rsid w:val="00B2763F"/>
    <w:rsid w:val="00B27AAC"/>
    <w:rsid w:val="00B30929"/>
    <w:rsid w:val="00B34A7A"/>
    <w:rsid w:val="00B372AA"/>
    <w:rsid w:val="00B40445"/>
    <w:rsid w:val="00B41888"/>
    <w:rsid w:val="00B44C89"/>
    <w:rsid w:val="00B458C3"/>
    <w:rsid w:val="00B45A52"/>
    <w:rsid w:val="00B46175"/>
    <w:rsid w:val="00B61FDB"/>
    <w:rsid w:val="00B664C7"/>
    <w:rsid w:val="00B70218"/>
    <w:rsid w:val="00B739F6"/>
    <w:rsid w:val="00B73A2B"/>
    <w:rsid w:val="00B81A6C"/>
    <w:rsid w:val="00B85DE5"/>
    <w:rsid w:val="00B90D56"/>
    <w:rsid w:val="00B90F73"/>
    <w:rsid w:val="00B93B59"/>
    <w:rsid w:val="00B9406A"/>
    <w:rsid w:val="00B94DE8"/>
    <w:rsid w:val="00BA2280"/>
    <w:rsid w:val="00BA2A08"/>
    <w:rsid w:val="00BA4ED6"/>
    <w:rsid w:val="00BA56D2"/>
    <w:rsid w:val="00BA76E0"/>
    <w:rsid w:val="00BA7D82"/>
    <w:rsid w:val="00BB029E"/>
    <w:rsid w:val="00BB2A25"/>
    <w:rsid w:val="00BB51E9"/>
    <w:rsid w:val="00BC0FDC"/>
    <w:rsid w:val="00BC2CC6"/>
    <w:rsid w:val="00BC3053"/>
    <w:rsid w:val="00BC4D2E"/>
    <w:rsid w:val="00BD48AC"/>
    <w:rsid w:val="00BD5F1A"/>
    <w:rsid w:val="00BE1234"/>
    <w:rsid w:val="00BE2FA6"/>
    <w:rsid w:val="00BE333F"/>
    <w:rsid w:val="00BE7406"/>
    <w:rsid w:val="00BE7603"/>
    <w:rsid w:val="00BE787F"/>
    <w:rsid w:val="00BF3184"/>
    <w:rsid w:val="00BF3279"/>
    <w:rsid w:val="00BF74C7"/>
    <w:rsid w:val="00C015F1"/>
    <w:rsid w:val="00C01F33"/>
    <w:rsid w:val="00C02CC6"/>
    <w:rsid w:val="00C040F7"/>
    <w:rsid w:val="00C044AB"/>
    <w:rsid w:val="00C05706"/>
    <w:rsid w:val="00C07377"/>
    <w:rsid w:val="00C07594"/>
    <w:rsid w:val="00C10478"/>
    <w:rsid w:val="00C12107"/>
    <w:rsid w:val="00C13D41"/>
    <w:rsid w:val="00C14D4B"/>
    <w:rsid w:val="00C154BB"/>
    <w:rsid w:val="00C166DF"/>
    <w:rsid w:val="00C17E9A"/>
    <w:rsid w:val="00C279B5"/>
    <w:rsid w:val="00C27C45"/>
    <w:rsid w:val="00C3353A"/>
    <w:rsid w:val="00C3719D"/>
    <w:rsid w:val="00C37E7E"/>
    <w:rsid w:val="00C447F6"/>
    <w:rsid w:val="00C45CF4"/>
    <w:rsid w:val="00C504E0"/>
    <w:rsid w:val="00C5355D"/>
    <w:rsid w:val="00C54995"/>
    <w:rsid w:val="00C54D41"/>
    <w:rsid w:val="00C54E06"/>
    <w:rsid w:val="00C57F80"/>
    <w:rsid w:val="00C60783"/>
    <w:rsid w:val="00C64672"/>
    <w:rsid w:val="00C650B4"/>
    <w:rsid w:val="00C70697"/>
    <w:rsid w:val="00C721DF"/>
    <w:rsid w:val="00C72EF4"/>
    <w:rsid w:val="00C75D2F"/>
    <w:rsid w:val="00C75F8F"/>
    <w:rsid w:val="00C767BE"/>
    <w:rsid w:val="00C76E3C"/>
    <w:rsid w:val="00C814EF"/>
    <w:rsid w:val="00C81568"/>
    <w:rsid w:val="00C82571"/>
    <w:rsid w:val="00C8259E"/>
    <w:rsid w:val="00C84159"/>
    <w:rsid w:val="00C9027A"/>
    <w:rsid w:val="00C9068E"/>
    <w:rsid w:val="00C90D93"/>
    <w:rsid w:val="00C93C4B"/>
    <w:rsid w:val="00C944AB"/>
    <w:rsid w:val="00C95B40"/>
    <w:rsid w:val="00C978A5"/>
    <w:rsid w:val="00CA1ED8"/>
    <w:rsid w:val="00CA2417"/>
    <w:rsid w:val="00CA3013"/>
    <w:rsid w:val="00CA3429"/>
    <w:rsid w:val="00CB0A09"/>
    <w:rsid w:val="00CB1F63"/>
    <w:rsid w:val="00CB20D8"/>
    <w:rsid w:val="00CB41A7"/>
    <w:rsid w:val="00CB6A2D"/>
    <w:rsid w:val="00CB7170"/>
    <w:rsid w:val="00CC040E"/>
    <w:rsid w:val="00CC111F"/>
    <w:rsid w:val="00CC2011"/>
    <w:rsid w:val="00CC3EA0"/>
    <w:rsid w:val="00CC7B45"/>
    <w:rsid w:val="00CD01A5"/>
    <w:rsid w:val="00CD1188"/>
    <w:rsid w:val="00CD2A02"/>
    <w:rsid w:val="00CD2ED1"/>
    <w:rsid w:val="00CD337B"/>
    <w:rsid w:val="00CD51E9"/>
    <w:rsid w:val="00CE0054"/>
    <w:rsid w:val="00CE0424"/>
    <w:rsid w:val="00CE30C8"/>
    <w:rsid w:val="00CE6BC2"/>
    <w:rsid w:val="00CE7561"/>
    <w:rsid w:val="00CF1354"/>
    <w:rsid w:val="00CF3B1F"/>
    <w:rsid w:val="00CF3BF6"/>
    <w:rsid w:val="00CF625B"/>
    <w:rsid w:val="00CF625D"/>
    <w:rsid w:val="00CF687E"/>
    <w:rsid w:val="00D0349B"/>
    <w:rsid w:val="00D10249"/>
    <w:rsid w:val="00D10D8C"/>
    <w:rsid w:val="00D115C3"/>
    <w:rsid w:val="00D11897"/>
    <w:rsid w:val="00D13135"/>
    <w:rsid w:val="00D13E4E"/>
    <w:rsid w:val="00D174D2"/>
    <w:rsid w:val="00D239A7"/>
    <w:rsid w:val="00D23F47"/>
    <w:rsid w:val="00D2446D"/>
    <w:rsid w:val="00D24C08"/>
    <w:rsid w:val="00D27704"/>
    <w:rsid w:val="00D36E71"/>
    <w:rsid w:val="00D37D87"/>
    <w:rsid w:val="00D40B33"/>
    <w:rsid w:val="00D4318F"/>
    <w:rsid w:val="00D438BF"/>
    <w:rsid w:val="00D440F8"/>
    <w:rsid w:val="00D47943"/>
    <w:rsid w:val="00D546FF"/>
    <w:rsid w:val="00D55AD5"/>
    <w:rsid w:val="00D56F65"/>
    <w:rsid w:val="00D576CA"/>
    <w:rsid w:val="00D61AF5"/>
    <w:rsid w:val="00D626B9"/>
    <w:rsid w:val="00D652B5"/>
    <w:rsid w:val="00D66155"/>
    <w:rsid w:val="00D667A6"/>
    <w:rsid w:val="00D708B0"/>
    <w:rsid w:val="00D77B1D"/>
    <w:rsid w:val="00D8021F"/>
    <w:rsid w:val="00D80383"/>
    <w:rsid w:val="00D823C6"/>
    <w:rsid w:val="00D84A04"/>
    <w:rsid w:val="00D86CA3"/>
    <w:rsid w:val="00D871CE"/>
    <w:rsid w:val="00D9196D"/>
    <w:rsid w:val="00D92982"/>
    <w:rsid w:val="00D92BAC"/>
    <w:rsid w:val="00D961D6"/>
    <w:rsid w:val="00D96656"/>
    <w:rsid w:val="00DA15B0"/>
    <w:rsid w:val="00DA1ED1"/>
    <w:rsid w:val="00DA305E"/>
    <w:rsid w:val="00DA5417"/>
    <w:rsid w:val="00DA56E8"/>
    <w:rsid w:val="00DA6102"/>
    <w:rsid w:val="00DA6E71"/>
    <w:rsid w:val="00DA7BDC"/>
    <w:rsid w:val="00DB0A9F"/>
    <w:rsid w:val="00DB377D"/>
    <w:rsid w:val="00DB7A7D"/>
    <w:rsid w:val="00DC2D36"/>
    <w:rsid w:val="00DC2F53"/>
    <w:rsid w:val="00DC53EF"/>
    <w:rsid w:val="00DD23EE"/>
    <w:rsid w:val="00DE18DC"/>
    <w:rsid w:val="00DE5608"/>
    <w:rsid w:val="00DE58D0"/>
    <w:rsid w:val="00DE654F"/>
    <w:rsid w:val="00DF09D9"/>
    <w:rsid w:val="00DF0B6E"/>
    <w:rsid w:val="00DF15E0"/>
    <w:rsid w:val="00DF37A0"/>
    <w:rsid w:val="00E01731"/>
    <w:rsid w:val="00E110E7"/>
    <w:rsid w:val="00E116C2"/>
    <w:rsid w:val="00E11B20"/>
    <w:rsid w:val="00E12A46"/>
    <w:rsid w:val="00E17FA2"/>
    <w:rsid w:val="00E21D04"/>
    <w:rsid w:val="00E22330"/>
    <w:rsid w:val="00E24074"/>
    <w:rsid w:val="00E30B5A"/>
    <w:rsid w:val="00E3123D"/>
    <w:rsid w:val="00E31461"/>
    <w:rsid w:val="00E31D43"/>
    <w:rsid w:val="00E32608"/>
    <w:rsid w:val="00E34188"/>
    <w:rsid w:val="00E34B6E"/>
    <w:rsid w:val="00E35559"/>
    <w:rsid w:val="00E35DE2"/>
    <w:rsid w:val="00E3723A"/>
    <w:rsid w:val="00E37860"/>
    <w:rsid w:val="00E379FC"/>
    <w:rsid w:val="00E417D6"/>
    <w:rsid w:val="00E42150"/>
    <w:rsid w:val="00E42E99"/>
    <w:rsid w:val="00E446F1"/>
    <w:rsid w:val="00E45134"/>
    <w:rsid w:val="00E46886"/>
    <w:rsid w:val="00E47AEF"/>
    <w:rsid w:val="00E47FA8"/>
    <w:rsid w:val="00E522AC"/>
    <w:rsid w:val="00E52A12"/>
    <w:rsid w:val="00E53B75"/>
    <w:rsid w:val="00E54E3B"/>
    <w:rsid w:val="00E5689D"/>
    <w:rsid w:val="00E57565"/>
    <w:rsid w:val="00E610B1"/>
    <w:rsid w:val="00E63838"/>
    <w:rsid w:val="00E64434"/>
    <w:rsid w:val="00E6494E"/>
    <w:rsid w:val="00E656AA"/>
    <w:rsid w:val="00E67C51"/>
    <w:rsid w:val="00E7061C"/>
    <w:rsid w:val="00E72EFC"/>
    <w:rsid w:val="00E75375"/>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1066"/>
    <w:rsid w:val="00EC27C6"/>
    <w:rsid w:val="00EC4207"/>
    <w:rsid w:val="00EC5653"/>
    <w:rsid w:val="00EC59F5"/>
    <w:rsid w:val="00EC5E92"/>
    <w:rsid w:val="00EC71CE"/>
    <w:rsid w:val="00ED1006"/>
    <w:rsid w:val="00ED5292"/>
    <w:rsid w:val="00EE1375"/>
    <w:rsid w:val="00EE1C4E"/>
    <w:rsid w:val="00EE2CC9"/>
    <w:rsid w:val="00EE2E96"/>
    <w:rsid w:val="00EE59C8"/>
    <w:rsid w:val="00EE6C04"/>
    <w:rsid w:val="00EF18FE"/>
    <w:rsid w:val="00EF1DE7"/>
    <w:rsid w:val="00EF5787"/>
    <w:rsid w:val="00EF60D0"/>
    <w:rsid w:val="00F0528D"/>
    <w:rsid w:val="00F06C67"/>
    <w:rsid w:val="00F06DFD"/>
    <w:rsid w:val="00F071D1"/>
    <w:rsid w:val="00F07533"/>
    <w:rsid w:val="00F10629"/>
    <w:rsid w:val="00F11EF6"/>
    <w:rsid w:val="00F15FA5"/>
    <w:rsid w:val="00F209B7"/>
    <w:rsid w:val="00F21426"/>
    <w:rsid w:val="00F2376F"/>
    <w:rsid w:val="00F243D8"/>
    <w:rsid w:val="00F259B1"/>
    <w:rsid w:val="00F30828"/>
    <w:rsid w:val="00F313D6"/>
    <w:rsid w:val="00F321F0"/>
    <w:rsid w:val="00F40D55"/>
    <w:rsid w:val="00F40F0C"/>
    <w:rsid w:val="00F4766C"/>
    <w:rsid w:val="00F5060E"/>
    <w:rsid w:val="00F507D1"/>
    <w:rsid w:val="00F51900"/>
    <w:rsid w:val="00F519CE"/>
    <w:rsid w:val="00F51ADA"/>
    <w:rsid w:val="00F607C5"/>
    <w:rsid w:val="00F60DEA"/>
    <w:rsid w:val="00F6302A"/>
    <w:rsid w:val="00F64C2B"/>
    <w:rsid w:val="00F651BE"/>
    <w:rsid w:val="00F66115"/>
    <w:rsid w:val="00F6678B"/>
    <w:rsid w:val="00F67F53"/>
    <w:rsid w:val="00F703BE"/>
    <w:rsid w:val="00F71F69"/>
    <w:rsid w:val="00F72B72"/>
    <w:rsid w:val="00F74BB9"/>
    <w:rsid w:val="00F75582"/>
    <w:rsid w:val="00F76EFA"/>
    <w:rsid w:val="00F804BE"/>
    <w:rsid w:val="00F817CE"/>
    <w:rsid w:val="00F82835"/>
    <w:rsid w:val="00F83294"/>
    <w:rsid w:val="00F8456C"/>
    <w:rsid w:val="00F859D8"/>
    <w:rsid w:val="00F868F5"/>
    <w:rsid w:val="00F87240"/>
    <w:rsid w:val="00F9056A"/>
    <w:rsid w:val="00F90F8D"/>
    <w:rsid w:val="00F9203E"/>
    <w:rsid w:val="00F92782"/>
    <w:rsid w:val="00F93644"/>
    <w:rsid w:val="00F93AA9"/>
    <w:rsid w:val="00F9457A"/>
    <w:rsid w:val="00F96985"/>
    <w:rsid w:val="00F96F6D"/>
    <w:rsid w:val="00F97838"/>
    <w:rsid w:val="00FA2BB3"/>
    <w:rsid w:val="00FB05E4"/>
    <w:rsid w:val="00FB4C80"/>
    <w:rsid w:val="00FB6A6A"/>
    <w:rsid w:val="00FC2864"/>
    <w:rsid w:val="00FC652C"/>
    <w:rsid w:val="00FC677B"/>
    <w:rsid w:val="00FC7429"/>
    <w:rsid w:val="00FD07F6"/>
    <w:rsid w:val="00FD0F11"/>
    <w:rsid w:val="00FD1EC8"/>
    <w:rsid w:val="00FD2958"/>
    <w:rsid w:val="00FD47ED"/>
    <w:rsid w:val="00FD4C74"/>
    <w:rsid w:val="00FD6F6D"/>
    <w:rsid w:val="00FD74DB"/>
    <w:rsid w:val="00FD7660"/>
    <w:rsid w:val="00FE0655"/>
    <w:rsid w:val="00FE2365"/>
    <w:rsid w:val="00FE37D7"/>
    <w:rsid w:val="00FE4C7B"/>
    <w:rsid w:val="00FE7336"/>
    <w:rsid w:val="00FE787C"/>
    <w:rsid w:val="00FF1E5D"/>
    <w:rsid w:val="00FF45A5"/>
    <w:rsid w:val="00FF52A8"/>
    <w:rsid w:val="00FF5C91"/>
    <w:rsid w:val="00FF609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801DA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4E6144"/>
    <w:pPr>
      <w:spacing w:after="200" w:line="276" w:lineRule="auto"/>
    </w:pPr>
    <w:rPr>
      <w:rFonts w:asciiTheme="minorHAnsi" w:eastAsiaTheme="minorHAnsi" w:hAnsiTheme="minorHAnsi" w:cstheme="minorBidi"/>
      <w:sz w:val="22"/>
      <w:szCs w:val="22"/>
    </w:rPr>
  </w:style>
  <w:style w:type="paragraph" w:styleId="Heading1">
    <w:name w:val="heading 1"/>
    <w:next w:val="Normal"/>
    <w:link w:val="Heading1Char"/>
    <w:qFormat/>
    <w:rsid w:val="00D9665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basedOn w:val="Heading1"/>
    <w:next w:val="Normal"/>
    <w:qFormat/>
    <w:rsid w:val="00D96656"/>
    <w:pPr>
      <w:numPr>
        <w:ilvl w:val="1"/>
      </w:numPr>
      <w:pBdr>
        <w:top w:val="none" w:sz="0" w:space="0" w:color="auto"/>
      </w:pBdr>
      <w:spacing w:before="180"/>
      <w:outlineLvl w:val="1"/>
    </w:pPr>
    <w:rPr>
      <w:sz w:val="28"/>
      <w:szCs w:val="32"/>
    </w:rPr>
  </w:style>
  <w:style w:type="paragraph" w:styleId="Heading3">
    <w:name w:val="heading 3"/>
    <w:basedOn w:val="Heading2"/>
    <w:next w:val="Normal"/>
    <w:qFormat/>
    <w:rsid w:val="00D96656"/>
    <w:pPr>
      <w:numPr>
        <w:ilvl w:val="2"/>
      </w:numPr>
      <w:spacing w:before="120"/>
      <w:outlineLvl w:val="2"/>
    </w:pPr>
    <w:rPr>
      <w:sz w:val="24"/>
      <w:szCs w:val="28"/>
    </w:rPr>
  </w:style>
  <w:style w:type="paragraph" w:styleId="Heading4">
    <w:name w:val="heading 4"/>
    <w:basedOn w:val="Heading3"/>
    <w:next w:val="Normal"/>
    <w:qFormat/>
    <w:rsid w:val="00D96656"/>
    <w:pPr>
      <w:numPr>
        <w:ilvl w:val="3"/>
      </w:numPr>
      <w:outlineLvl w:val="3"/>
    </w:pPr>
    <w:rPr>
      <w:szCs w:val="24"/>
    </w:rPr>
  </w:style>
  <w:style w:type="paragraph" w:styleId="Heading5">
    <w:name w:val="heading 5"/>
    <w:basedOn w:val="Heading4"/>
    <w:next w:val="Normal"/>
    <w:qFormat/>
    <w:rsid w:val="00D96656"/>
    <w:pPr>
      <w:numPr>
        <w:ilvl w:val="4"/>
      </w:numPr>
      <w:outlineLvl w:val="4"/>
    </w:pPr>
    <w:rPr>
      <w:sz w:val="22"/>
      <w:szCs w:val="22"/>
    </w:rPr>
  </w:style>
  <w:style w:type="paragraph" w:styleId="Heading6">
    <w:name w:val="heading 6"/>
    <w:basedOn w:val="Normal"/>
    <w:next w:val="Normal"/>
    <w:qFormat/>
    <w:rsid w:val="00D96656"/>
    <w:pPr>
      <w:keepNext/>
      <w:keepLines/>
      <w:numPr>
        <w:ilvl w:val="5"/>
        <w:numId w:val="1"/>
      </w:numPr>
      <w:spacing w:before="120"/>
      <w:outlineLvl w:val="5"/>
    </w:pPr>
    <w:rPr>
      <w:rFonts w:cs="Arial"/>
    </w:rPr>
  </w:style>
  <w:style w:type="paragraph" w:styleId="Heading7">
    <w:name w:val="heading 7"/>
    <w:basedOn w:val="Normal"/>
    <w:next w:val="Normal"/>
    <w:qFormat/>
    <w:rsid w:val="00D96656"/>
    <w:pPr>
      <w:keepNext/>
      <w:keepLines/>
      <w:numPr>
        <w:ilvl w:val="6"/>
        <w:numId w:val="1"/>
      </w:numPr>
      <w:spacing w:before="120"/>
      <w:outlineLvl w:val="6"/>
    </w:pPr>
    <w:rPr>
      <w:rFonts w:cs="Arial"/>
    </w:rPr>
  </w:style>
  <w:style w:type="paragraph" w:styleId="Heading8">
    <w:name w:val="heading 8"/>
    <w:basedOn w:val="Heading7"/>
    <w:next w:val="Normal"/>
    <w:qFormat/>
    <w:rsid w:val="00D96656"/>
    <w:pPr>
      <w:numPr>
        <w:ilvl w:val="7"/>
      </w:numPr>
      <w:outlineLvl w:val="7"/>
    </w:pPr>
  </w:style>
  <w:style w:type="paragraph" w:styleId="Heading9">
    <w:name w:val="heading 9"/>
    <w:basedOn w:val="Heading8"/>
    <w:next w:val="Normal"/>
    <w:qFormat/>
    <w:rsid w:val="00D96656"/>
    <w:pPr>
      <w:numPr>
        <w:ilvl w:val="8"/>
      </w:numPr>
      <w:outlineLvl w:val="8"/>
    </w:pPr>
  </w:style>
  <w:style w:type="character" w:default="1" w:styleId="DefaultParagraphFont">
    <w:name w:val="Default Paragraph Font"/>
    <w:uiPriority w:val="1"/>
    <w:semiHidden/>
    <w:unhideWhenUsed/>
    <w:rsid w:val="004E61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4E6144"/>
  </w:style>
  <w:style w:type="paragraph" w:styleId="TOC8">
    <w:name w:val="toc 8"/>
    <w:basedOn w:val="TOC1"/>
    <w:semiHidden/>
    <w:rsid w:val="00D96656"/>
    <w:pPr>
      <w:spacing w:before="180"/>
      <w:ind w:left="2693" w:hanging="2693"/>
    </w:pPr>
    <w:rPr>
      <w:b w:val="0"/>
      <w:bCs/>
    </w:rPr>
  </w:style>
  <w:style w:type="paragraph" w:styleId="TOC1">
    <w:name w:val="toc 1"/>
    <w:aliases w:val="Observation TOC2"/>
    <w:uiPriority w:val="39"/>
    <w:rsid w:val="00D96656"/>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D96656"/>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D96656"/>
    <w:pPr>
      <w:spacing w:after="240"/>
      <w:jc w:val="center"/>
    </w:pPr>
    <w:rPr>
      <w:b/>
      <w:bCs/>
    </w:rPr>
  </w:style>
  <w:style w:type="paragraph" w:styleId="TOC5">
    <w:name w:val="toc 5"/>
    <w:aliases w:val="Observation TOC"/>
    <w:basedOn w:val="TOC4"/>
    <w:semiHidden/>
    <w:rsid w:val="00D96656"/>
    <w:pPr>
      <w:tabs>
        <w:tab w:val="right" w:pos="1701"/>
      </w:tabs>
      <w:ind w:left="1701" w:hanging="1701"/>
    </w:pPr>
  </w:style>
  <w:style w:type="paragraph" w:styleId="TOC4">
    <w:name w:val="toc 4"/>
    <w:basedOn w:val="TOC3"/>
    <w:semiHidden/>
    <w:rsid w:val="00D96656"/>
    <w:pPr>
      <w:ind w:left="1418" w:hanging="1418"/>
    </w:pPr>
  </w:style>
  <w:style w:type="paragraph" w:styleId="TOC3">
    <w:name w:val="toc 3"/>
    <w:basedOn w:val="TOC2"/>
    <w:semiHidden/>
    <w:rsid w:val="00D96656"/>
    <w:pPr>
      <w:ind w:left="1134" w:hanging="1134"/>
    </w:pPr>
  </w:style>
  <w:style w:type="paragraph" w:styleId="TOC2">
    <w:name w:val="toc 2"/>
    <w:basedOn w:val="TOC1"/>
    <w:semiHidden/>
    <w:rsid w:val="00D96656"/>
    <w:pPr>
      <w:keepNext w:val="0"/>
      <w:spacing w:before="0"/>
      <w:ind w:left="851" w:hanging="851"/>
    </w:pPr>
    <w:rPr>
      <w:szCs w:val="20"/>
    </w:rPr>
  </w:style>
  <w:style w:type="paragraph" w:styleId="Index2">
    <w:name w:val="index 2"/>
    <w:basedOn w:val="Index1"/>
    <w:semiHidden/>
    <w:rsid w:val="00D96656"/>
    <w:pPr>
      <w:ind w:left="284"/>
    </w:pPr>
  </w:style>
  <w:style w:type="paragraph" w:styleId="Index1">
    <w:name w:val="index 1"/>
    <w:basedOn w:val="Normal"/>
    <w:semiHidden/>
    <w:rsid w:val="00D96656"/>
    <w:pPr>
      <w:keepLines/>
      <w:spacing w:after="0"/>
    </w:pPr>
  </w:style>
  <w:style w:type="paragraph" w:styleId="DocumentMap">
    <w:name w:val="Document Map"/>
    <w:basedOn w:val="Normal"/>
    <w:semiHidden/>
    <w:rsid w:val="00D96656"/>
    <w:pPr>
      <w:shd w:val="clear" w:color="auto" w:fill="000080"/>
    </w:pPr>
    <w:rPr>
      <w:rFonts w:ascii="Tahoma" w:hAnsi="Tahoma" w:cs="Tahoma"/>
    </w:rPr>
  </w:style>
  <w:style w:type="paragraph" w:styleId="ListNumber2">
    <w:name w:val="List Number 2"/>
    <w:basedOn w:val="ListNumber"/>
    <w:rsid w:val="00D96656"/>
    <w:pPr>
      <w:ind w:left="851"/>
    </w:pPr>
  </w:style>
  <w:style w:type="paragraph" w:styleId="ListNumber">
    <w:name w:val="List Number"/>
    <w:basedOn w:val="List"/>
    <w:rsid w:val="00D96656"/>
  </w:style>
  <w:style w:type="paragraph" w:styleId="List">
    <w:name w:val="List"/>
    <w:basedOn w:val="Normal"/>
    <w:rsid w:val="00D96656"/>
    <w:pPr>
      <w:ind w:left="568" w:hanging="284"/>
    </w:pPr>
  </w:style>
  <w:style w:type="paragraph" w:styleId="Header">
    <w:name w:val="header"/>
    <w:rsid w:val="00D96656"/>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96656"/>
    <w:rPr>
      <w:b/>
      <w:bCs/>
      <w:position w:val="6"/>
      <w:sz w:val="16"/>
      <w:szCs w:val="16"/>
    </w:rPr>
  </w:style>
  <w:style w:type="paragraph" w:styleId="FootnoteText">
    <w:name w:val="footnote text"/>
    <w:basedOn w:val="Normal"/>
    <w:semiHidden/>
    <w:rsid w:val="00D96656"/>
    <w:pPr>
      <w:keepLines/>
      <w:spacing w:after="0"/>
      <w:ind w:left="454" w:hanging="454"/>
    </w:pPr>
    <w:rPr>
      <w:sz w:val="16"/>
      <w:szCs w:val="16"/>
    </w:rPr>
  </w:style>
  <w:style w:type="paragraph" w:customStyle="1" w:styleId="3GPPHeader">
    <w:name w:val="3GPP_Header"/>
    <w:basedOn w:val="Normal"/>
    <w:qFormat/>
    <w:rsid w:val="00D96656"/>
    <w:pPr>
      <w:tabs>
        <w:tab w:val="left" w:pos="1800"/>
        <w:tab w:val="right" w:pos="9360"/>
      </w:tabs>
      <w:spacing w:after="0"/>
    </w:pPr>
    <w:rPr>
      <w:rFonts w:ascii="Arial" w:hAnsi="Arial"/>
      <w:b/>
    </w:rPr>
  </w:style>
  <w:style w:type="paragraph" w:styleId="TOC9">
    <w:name w:val="toc 9"/>
    <w:basedOn w:val="TOC8"/>
    <w:semiHidden/>
    <w:rsid w:val="00D96656"/>
    <w:pPr>
      <w:ind w:left="1418" w:hanging="1418"/>
    </w:pPr>
  </w:style>
  <w:style w:type="paragraph" w:styleId="TOC6">
    <w:name w:val="toc 6"/>
    <w:basedOn w:val="TOC5"/>
    <w:next w:val="Normal"/>
    <w:semiHidden/>
    <w:rsid w:val="00D96656"/>
    <w:pPr>
      <w:ind w:left="1985" w:hanging="1985"/>
    </w:pPr>
  </w:style>
  <w:style w:type="paragraph" w:styleId="TOC7">
    <w:name w:val="toc 7"/>
    <w:basedOn w:val="TOC6"/>
    <w:next w:val="Normal"/>
    <w:semiHidden/>
    <w:rsid w:val="00D96656"/>
    <w:pPr>
      <w:ind w:left="2268" w:hanging="2268"/>
    </w:pPr>
  </w:style>
  <w:style w:type="paragraph" w:styleId="ListBullet2">
    <w:name w:val="List Bullet 2"/>
    <w:basedOn w:val="ListBullet"/>
    <w:rsid w:val="00D96656"/>
    <w:pPr>
      <w:numPr>
        <w:numId w:val="6"/>
      </w:numPr>
    </w:pPr>
  </w:style>
  <w:style w:type="paragraph" w:styleId="ListBullet">
    <w:name w:val="List Bullet"/>
    <w:basedOn w:val="BodyText"/>
    <w:rsid w:val="00D96656"/>
    <w:pPr>
      <w:numPr>
        <w:numId w:val="5"/>
      </w:numPr>
    </w:pPr>
  </w:style>
  <w:style w:type="paragraph" w:styleId="ListBullet3">
    <w:name w:val="List Bullet 3"/>
    <w:basedOn w:val="ListBullet2"/>
    <w:rsid w:val="00D96656"/>
    <w:pPr>
      <w:numPr>
        <w:numId w:val="7"/>
      </w:numPr>
    </w:pPr>
  </w:style>
  <w:style w:type="paragraph" w:customStyle="1" w:styleId="EQ">
    <w:name w:val="EQ"/>
    <w:basedOn w:val="Normal"/>
    <w:next w:val="Normal"/>
    <w:rsid w:val="00D96656"/>
    <w:pPr>
      <w:keepLines/>
      <w:tabs>
        <w:tab w:val="center" w:pos="4536"/>
        <w:tab w:val="right" w:pos="9072"/>
      </w:tabs>
      <w:spacing w:after="180"/>
    </w:pPr>
    <w:rPr>
      <w:noProof/>
    </w:rPr>
  </w:style>
  <w:style w:type="paragraph" w:styleId="List2">
    <w:name w:val="List 2"/>
    <w:basedOn w:val="List"/>
    <w:rsid w:val="00D96656"/>
    <w:pPr>
      <w:ind w:left="851"/>
    </w:pPr>
  </w:style>
  <w:style w:type="paragraph" w:styleId="List3">
    <w:name w:val="List 3"/>
    <w:basedOn w:val="List2"/>
    <w:rsid w:val="00D96656"/>
    <w:pPr>
      <w:ind w:left="1135"/>
    </w:pPr>
  </w:style>
  <w:style w:type="paragraph" w:styleId="List4">
    <w:name w:val="List 4"/>
    <w:basedOn w:val="List3"/>
    <w:rsid w:val="00D96656"/>
    <w:pPr>
      <w:ind w:left="1418"/>
    </w:pPr>
  </w:style>
  <w:style w:type="paragraph" w:styleId="List5">
    <w:name w:val="List 5"/>
    <w:basedOn w:val="List4"/>
    <w:rsid w:val="00D96656"/>
    <w:pPr>
      <w:ind w:left="1702"/>
    </w:pPr>
  </w:style>
  <w:style w:type="paragraph" w:customStyle="1" w:styleId="EditorsNote">
    <w:name w:val="Editor's Note"/>
    <w:basedOn w:val="Normal"/>
    <w:rsid w:val="00D96656"/>
    <w:pPr>
      <w:keepLines/>
      <w:spacing w:after="180"/>
      <w:ind w:left="1135" w:hanging="851"/>
    </w:pPr>
    <w:rPr>
      <w:color w:val="FF0000"/>
    </w:rPr>
  </w:style>
  <w:style w:type="paragraph" w:styleId="ListBullet4">
    <w:name w:val="List Bullet 4"/>
    <w:basedOn w:val="ListBullet3"/>
    <w:rsid w:val="00D96656"/>
    <w:pPr>
      <w:numPr>
        <w:numId w:val="8"/>
      </w:numPr>
    </w:pPr>
  </w:style>
  <w:style w:type="paragraph" w:styleId="ListBullet5">
    <w:name w:val="List Bullet 5"/>
    <w:basedOn w:val="ListBullet4"/>
    <w:rsid w:val="00D96656"/>
    <w:pPr>
      <w:numPr>
        <w:numId w:val="4"/>
      </w:numPr>
    </w:pPr>
  </w:style>
  <w:style w:type="paragraph" w:styleId="Footer">
    <w:name w:val="footer"/>
    <w:basedOn w:val="Header"/>
    <w:semiHidden/>
    <w:rsid w:val="00D96656"/>
    <w:pPr>
      <w:jc w:val="center"/>
    </w:pPr>
    <w:rPr>
      <w:i/>
      <w:iCs/>
    </w:rPr>
  </w:style>
  <w:style w:type="paragraph" w:customStyle="1" w:styleId="Reference">
    <w:name w:val="Reference"/>
    <w:basedOn w:val="Normal"/>
    <w:qFormat/>
    <w:rsid w:val="00D96656"/>
    <w:pPr>
      <w:numPr>
        <w:numId w:val="2"/>
      </w:numPr>
    </w:pPr>
  </w:style>
  <w:style w:type="paragraph" w:styleId="BalloonText">
    <w:name w:val="Balloon Text"/>
    <w:basedOn w:val="Normal"/>
    <w:semiHidden/>
    <w:rsid w:val="00D96656"/>
    <w:rPr>
      <w:rFonts w:ascii="Tahoma" w:hAnsi="Tahoma" w:cs="Tahoma"/>
      <w:sz w:val="16"/>
      <w:szCs w:val="16"/>
    </w:rPr>
  </w:style>
  <w:style w:type="character" w:styleId="PageNumber">
    <w:name w:val="page number"/>
    <w:basedOn w:val="DefaultParagraphFont"/>
    <w:semiHidden/>
    <w:rsid w:val="00D96656"/>
  </w:style>
  <w:style w:type="paragraph" w:styleId="BodyText">
    <w:name w:val="Body Text"/>
    <w:basedOn w:val="Normal"/>
    <w:link w:val="BodyTextChar"/>
    <w:qFormat/>
    <w:rsid w:val="00D96656"/>
  </w:style>
  <w:style w:type="character" w:styleId="Hyperlink">
    <w:name w:val="Hyperlink"/>
    <w:uiPriority w:val="99"/>
    <w:rsid w:val="00D96656"/>
    <w:rPr>
      <w:color w:val="0000FF"/>
      <w:u w:val="single"/>
      <w:lang w:val="en-GB"/>
    </w:rPr>
  </w:style>
  <w:style w:type="character" w:styleId="FollowedHyperlink">
    <w:name w:val="FollowedHyperlink"/>
    <w:semiHidden/>
    <w:rsid w:val="00D96656"/>
    <w:rPr>
      <w:color w:val="FF0000"/>
      <w:u w:val="single"/>
    </w:rPr>
  </w:style>
  <w:style w:type="character" w:styleId="CommentReference">
    <w:name w:val="annotation reference"/>
    <w:semiHidden/>
    <w:rsid w:val="00D96656"/>
    <w:rPr>
      <w:sz w:val="16"/>
      <w:szCs w:val="16"/>
    </w:rPr>
  </w:style>
  <w:style w:type="paragraph" w:styleId="CommentText">
    <w:name w:val="annotation text"/>
    <w:basedOn w:val="Normal"/>
    <w:semiHidden/>
    <w:rsid w:val="00D96656"/>
  </w:style>
  <w:style w:type="paragraph" w:styleId="CommentSubject">
    <w:name w:val="annotation subject"/>
    <w:basedOn w:val="CommentText"/>
    <w:next w:val="CommentText"/>
    <w:semiHidden/>
    <w:rsid w:val="00D96656"/>
    <w:rPr>
      <w:b/>
      <w:bCs/>
    </w:rPr>
  </w:style>
  <w:style w:type="character" w:customStyle="1" w:styleId="Heading1Char">
    <w:name w:val="Heading 1 Char"/>
    <w:link w:val="Heading1"/>
    <w:rsid w:val="00D96656"/>
    <w:rPr>
      <w:rFonts w:ascii="Arial" w:hAnsi="Arial" w:cs="Arial"/>
      <w:sz w:val="32"/>
      <w:szCs w:val="36"/>
      <w:lang w:val="en-GB" w:eastAsia="zh-CN"/>
    </w:rPr>
  </w:style>
  <w:style w:type="paragraph" w:customStyle="1" w:styleId="B1">
    <w:name w:val="B1"/>
    <w:basedOn w:val="List"/>
    <w:rsid w:val="00D96656"/>
    <w:pPr>
      <w:spacing w:after="180"/>
    </w:pPr>
  </w:style>
  <w:style w:type="paragraph" w:customStyle="1" w:styleId="B2">
    <w:name w:val="B2"/>
    <w:basedOn w:val="List2"/>
    <w:rsid w:val="00D96656"/>
    <w:pPr>
      <w:spacing w:after="180"/>
    </w:pPr>
  </w:style>
  <w:style w:type="paragraph" w:customStyle="1" w:styleId="B3">
    <w:name w:val="B3"/>
    <w:basedOn w:val="List3"/>
    <w:rsid w:val="00D96656"/>
    <w:pPr>
      <w:spacing w:after="180"/>
    </w:pPr>
  </w:style>
  <w:style w:type="paragraph" w:customStyle="1" w:styleId="B4">
    <w:name w:val="B4"/>
    <w:basedOn w:val="List4"/>
    <w:rsid w:val="00D96656"/>
    <w:pPr>
      <w:spacing w:after="180"/>
    </w:pPr>
  </w:style>
  <w:style w:type="paragraph" w:customStyle="1" w:styleId="Proposal">
    <w:name w:val="Proposal"/>
    <w:basedOn w:val="Normal"/>
    <w:qFormat/>
    <w:rsid w:val="00D96656"/>
    <w:pPr>
      <w:numPr>
        <w:numId w:val="3"/>
      </w:numPr>
      <w:tabs>
        <w:tab w:val="clear" w:pos="1304"/>
        <w:tab w:val="left" w:pos="1701"/>
      </w:tabs>
      <w:ind w:left="1701" w:hanging="1701"/>
    </w:pPr>
    <w:rPr>
      <w:b/>
      <w:bCs/>
    </w:rPr>
  </w:style>
  <w:style w:type="character" w:customStyle="1" w:styleId="BodyTextChar">
    <w:name w:val="Body Text Char"/>
    <w:link w:val="BodyText"/>
    <w:rsid w:val="00D96656"/>
    <w:rPr>
      <w:rFonts w:ascii="Times New Roman" w:hAnsi="Times New Roman"/>
      <w:lang w:val="en-GB" w:eastAsia="zh-CN"/>
    </w:rPr>
  </w:style>
  <w:style w:type="paragraph" w:customStyle="1" w:styleId="B5">
    <w:name w:val="B5"/>
    <w:basedOn w:val="List5"/>
    <w:rsid w:val="00D96656"/>
    <w:pPr>
      <w:spacing w:after="180"/>
    </w:pPr>
  </w:style>
  <w:style w:type="paragraph" w:customStyle="1" w:styleId="EX">
    <w:name w:val="EX"/>
    <w:basedOn w:val="Normal"/>
    <w:rsid w:val="00D96656"/>
    <w:pPr>
      <w:keepLines/>
      <w:spacing w:after="180"/>
      <w:ind w:left="1702" w:hanging="1418"/>
    </w:pPr>
  </w:style>
  <w:style w:type="paragraph" w:customStyle="1" w:styleId="EW">
    <w:name w:val="EW"/>
    <w:basedOn w:val="EX"/>
    <w:rsid w:val="00D96656"/>
    <w:pPr>
      <w:spacing w:after="0"/>
    </w:pPr>
  </w:style>
  <w:style w:type="paragraph" w:customStyle="1" w:styleId="TAL">
    <w:name w:val="TAL"/>
    <w:basedOn w:val="Normal"/>
    <w:rsid w:val="00D96656"/>
    <w:pPr>
      <w:keepNext/>
      <w:keepLines/>
      <w:spacing w:after="0"/>
    </w:pPr>
    <w:rPr>
      <w:sz w:val="18"/>
    </w:rPr>
  </w:style>
  <w:style w:type="paragraph" w:customStyle="1" w:styleId="TAC">
    <w:name w:val="TAC"/>
    <w:basedOn w:val="TAL"/>
    <w:rsid w:val="00D96656"/>
    <w:pPr>
      <w:jc w:val="center"/>
    </w:pPr>
  </w:style>
  <w:style w:type="paragraph" w:customStyle="1" w:styleId="TAH">
    <w:name w:val="TAH"/>
    <w:basedOn w:val="TAC"/>
    <w:rsid w:val="00D96656"/>
    <w:rPr>
      <w:b/>
    </w:rPr>
  </w:style>
  <w:style w:type="paragraph" w:customStyle="1" w:styleId="TAN">
    <w:name w:val="TAN"/>
    <w:basedOn w:val="TAL"/>
    <w:rsid w:val="00D96656"/>
    <w:pPr>
      <w:ind w:left="851" w:hanging="851"/>
    </w:pPr>
  </w:style>
  <w:style w:type="paragraph" w:customStyle="1" w:styleId="TAR">
    <w:name w:val="TAR"/>
    <w:basedOn w:val="TAL"/>
    <w:rsid w:val="00D96656"/>
    <w:pPr>
      <w:jc w:val="right"/>
    </w:pPr>
  </w:style>
  <w:style w:type="paragraph" w:customStyle="1" w:styleId="TH">
    <w:name w:val="TH"/>
    <w:basedOn w:val="Normal"/>
    <w:rsid w:val="00D96656"/>
    <w:pPr>
      <w:keepNext/>
      <w:keepLines/>
      <w:spacing w:before="60" w:after="180"/>
      <w:jc w:val="center"/>
    </w:pPr>
    <w:rPr>
      <w:b/>
    </w:rPr>
  </w:style>
  <w:style w:type="paragraph" w:customStyle="1" w:styleId="TF">
    <w:name w:val="TF"/>
    <w:basedOn w:val="TH"/>
    <w:rsid w:val="00D96656"/>
    <w:pPr>
      <w:keepNext w:val="0"/>
      <w:spacing w:before="0" w:after="240"/>
    </w:pPr>
  </w:style>
  <w:style w:type="paragraph" w:customStyle="1" w:styleId="TT">
    <w:name w:val="TT"/>
    <w:basedOn w:val="Heading1"/>
    <w:next w:val="Normal"/>
    <w:rsid w:val="00D96656"/>
    <w:pPr>
      <w:numPr>
        <w:numId w:val="0"/>
      </w:numPr>
      <w:ind w:left="1134" w:hanging="1134"/>
      <w:outlineLvl w:val="9"/>
    </w:pPr>
    <w:rPr>
      <w:rFonts w:cs="Times New Roman"/>
      <w:szCs w:val="20"/>
      <w:lang w:eastAsia="en-US"/>
    </w:rPr>
  </w:style>
  <w:style w:type="paragraph" w:customStyle="1" w:styleId="ZA">
    <w:name w:val="ZA"/>
    <w:rsid w:val="00D966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966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96656"/>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96656"/>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96656"/>
  </w:style>
  <w:style w:type="paragraph" w:customStyle="1" w:styleId="ZH">
    <w:name w:val="ZH"/>
    <w:rsid w:val="00D96656"/>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966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96656"/>
    <w:pPr>
      <w:framePr w:hRule="auto" w:wrap="notBeside" w:y="852"/>
    </w:pPr>
    <w:rPr>
      <w:i w:val="0"/>
      <w:sz w:val="40"/>
    </w:rPr>
  </w:style>
  <w:style w:type="paragraph" w:customStyle="1" w:styleId="ZU">
    <w:name w:val="ZU"/>
    <w:rsid w:val="00D966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96656"/>
    <w:pPr>
      <w:framePr w:wrap="notBeside" w:y="16161"/>
    </w:pPr>
  </w:style>
  <w:style w:type="paragraph" w:customStyle="1" w:styleId="FP">
    <w:name w:val="FP"/>
    <w:basedOn w:val="Normal"/>
    <w:rsid w:val="00D96656"/>
    <w:pPr>
      <w:spacing w:after="0"/>
    </w:pPr>
  </w:style>
  <w:style w:type="paragraph" w:customStyle="1" w:styleId="Observation">
    <w:name w:val="Observation"/>
    <w:basedOn w:val="Proposal"/>
    <w:qFormat/>
    <w:rsid w:val="00D96656"/>
    <w:pPr>
      <w:numPr>
        <w:numId w:val="13"/>
      </w:numPr>
      <w:ind w:left="1701" w:hanging="1701"/>
    </w:pPr>
  </w:style>
  <w:style w:type="paragraph" w:styleId="TableofFigures">
    <w:name w:val="table of figures"/>
    <w:basedOn w:val="Normal"/>
    <w:next w:val="Normal"/>
    <w:uiPriority w:val="99"/>
    <w:rsid w:val="00D96656"/>
    <w:pPr>
      <w:ind w:left="1418" w:hanging="1418"/>
    </w:pPr>
    <w:rPr>
      <w:b/>
    </w:rPr>
  </w:style>
  <w:style w:type="paragraph" w:styleId="Index4">
    <w:name w:val="index 4"/>
    <w:basedOn w:val="Normal"/>
    <w:next w:val="Normal"/>
    <w:autoRedefine/>
    <w:rsid w:val="00D96656"/>
    <w:pPr>
      <w:ind w:left="800" w:hanging="200"/>
    </w:pPr>
  </w:style>
  <w:style w:type="table" w:styleId="TableGrid">
    <w:name w:val="Table Grid"/>
    <w:basedOn w:val="TableNormal"/>
    <w:rsid w:val="00CB6A2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892BA0"/>
    <w:pPr>
      <w:ind w:left="720"/>
      <w:contextualSpacing/>
    </w:pPr>
  </w:style>
  <w:style w:type="table" w:styleId="LightList-Accent3">
    <w:name w:val="Light List Accent 3"/>
    <w:basedOn w:val="TableNormal"/>
    <w:uiPriority w:val="61"/>
    <w:rsid w:val="00EE6C04"/>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78680D"/>
    <w:rPr>
      <w:rFonts w:ascii="Times New Roman" w:hAnsi="Times New Roman"/>
      <w:b/>
      <w:bCs/>
      <w:lang w:val="en-GB" w:eastAsia="zh-CN"/>
    </w:rPr>
  </w:style>
  <w:style w:type="paragraph" w:styleId="Revision">
    <w:name w:val="Revision"/>
    <w:hidden/>
    <w:uiPriority w:val="99"/>
    <w:semiHidden/>
    <w:rsid w:val="004C7BF7"/>
    <w:rPr>
      <w:rFonts w:ascii="Times New Roman" w:hAnsi="Times New Roman"/>
      <w:lang w:val="en-GB" w:eastAsia="zh-CN"/>
    </w:rPr>
  </w:style>
  <w:style w:type="character" w:styleId="PlaceholderText">
    <w:name w:val="Placeholder Text"/>
    <w:basedOn w:val="DefaultParagraphFont"/>
    <w:uiPriority w:val="99"/>
    <w:semiHidden/>
    <w:rsid w:val="00307D44"/>
    <w:rPr>
      <w:color w:val="808080"/>
    </w:rPr>
  </w:style>
  <w:style w:type="paragraph" w:customStyle="1" w:styleId="IvDbodytext">
    <w:name w:val="IvD bodytext"/>
    <w:basedOn w:val="BodyText"/>
    <w:link w:val="IvDbodytextChar"/>
    <w:qFormat/>
    <w:rsid w:val="003950FF"/>
    <w:pPr>
      <w:keepLines/>
      <w:tabs>
        <w:tab w:val="left" w:pos="2552"/>
        <w:tab w:val="left" w:pos="3856"/>
        <w:tab w:val="left" w:pos="5216"/>
        <w:tab w:val="left" w:pos="6464"/>
        <w:tab w:val="left" w:pos="7768"/>
        <w:tab w:val="left" w:pos="9072"/>
        <w:tab w:val="left" w:pos="9639"/>
      </w:tabs>
      <w:spacing w:before="240" w:after="0" w:line="240" w:lineRule="auto"/>
    </w:pPr>
    <w:rPr>
      <w:rFonts w:ascii="Arial" w:eastAsia="Times New Roman" w:hAnsi="Arial" w:cs="Times New Roman"/>
      <w:spacing w:val="2"/>
      <w:sz w:val="20"/>
      <w:szCs w:val="20"/>
      <w:lang w:val="en-GB" w:eastAsia="zh-CN"/>
    </w:rPr>
  </w:style>
  <w:style w:type="character" w:customStyle="1" w:styleId="IvDbodytextChar">
    <w:name w:val="IvD bodytext Char"/>
    <w:basedOn w:val="BodyTextChar"/>
    <w:link w:val="IvDbodytext"/>
    <w:rsid w:val="003950FF"/>
    <w:rPr>
      <w:rFonts w:ascii="Arial" w:hAnsi="Arial"/>
      <w:spacing w:val="2"/>
      <w:lang w:val="en-GB" w:eastAsia="zh-CN"/>
    </w:rPr>
  </w:style>
  <w:style w:type="table" w:styleId="GridTable5Dark">
    <w:name w:val="Grid Table 5 Dark"/>
    <w:basedOn w:val="TableNormal"/>
    <w:uiPriority w:val="50"/>
    <w:rsid w:val="00C54E0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
    <w:name w:val="Grid Table 4"/>
    <w:basedOn w:val="TableNormal"/>
    <w:uiPriority w:val="49"/>
    <w:rsid w:val="00C54E0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4162942">
      <w:bodyDiv w:val="1"/>
      <w:marLeft w:val="0"/>
      <w:marRight w:val="0"/>
      <w:marTop w:val="0"/>
      <w:marBottom w:val="0"/>
      <w:divBdr>
        <w:top w:val="none" w:sz="0" w:space="0" w:color="auto"/>
        <w:left w:val="none" w:sz="0" w:space="0" w:color="auto"/>
        <w:bottom w:val="none" w:sz="0" w:space="0" w:color="auto"/>
        <w:right w:val="none" w:sz="0" w:space="0" w:color="auto"/>
      </w:divBdr>
      <w:divsChild>
        <w:div w:id="509415425">
          <w:marLeft w:val="547"/>
          <w:marRight w:val="0"/>
          <w:marTop w:val="120"/>
          <w:marBottom w:val="0"/>
          <w:divBdr>
            <w:top w:val="none" w:sz="0" w:space="0" w:color="auto"/>
            <w:left w:val="none" w:sz="0" w:space="0" w:color="auto"/>
            <w:bottom w:val="none" w:sz="0" w:space="0" w:color="auto"/>
            <w:right w:val="none" w:sz="0" w:space="0" w:color="auto"/>
          </w:divBdr>
        </w:div>
        <w:div w:id="26836063">
          <w:marLeft w:val="547"/>
          <w:marRight w:val="0"/>
          <w:marTop w:val="120"/>
          <w:marBottom w:val="0"/>
          <w:divBdr>
            <w:top w:val="none" w:sz="0" w:space="0" w:color="auto"/>
            <w:left w:val="none" w:sz="0" w:space="0" w:color="auto"/>
            <w:bottom w:val="none" w:sz="0" w:space="0" w:color="auto"/>
            <w:right w:val="none" w:sz="0" w:space="0" w:color="auto"/>
          </w:divBdr>
        </w:div>
        <w:div w:id="1062829540">
          <w:marLeft w:val="1267"/>
          <w:marRight w:val="0"/>
          <w:marTop w:val="60"/>
          <w:marBottom w:val="0"/>
          <w:divBdr>
            <w:top w:val="none" w:sz="0" w:space="0" w:color="auto"/>
            <w:left w:val="none" w:sz="0" w:space="0" w:color="auto"/>
            <w:bottom w:val="none" w:sz="0" w:space="0" w:color="auto"/>
            <w:right w:val="none" w:sz="0" w:space="0" w:color="auto"/>
          </w:divBdr>
        </w:div>
        <w:div w:id="165484132">
          <w:marLeft w:val="1267"/>
          <w:marRight w:val="0"/>
          <w:marTop w:val="60"/>
          <w:marBottom w:val="0"/>
          <w:divBdr>
            <w:top w:val="none" w:sz="0" w:space="0" w:color="auto"/>
            <w:left w:val="none" w:sz="0" w:space="0" w:color="auto"/>
            <w:bottom w:val="none" w:sz="0" w:space="0" w:color="auto"/>
            <w:right w:val="none" w:sz="0" w:space="0" w:color="auto"/>
          </w:divBdr>
        </w:div>
      </w:divsChild>
    </w:div>
    <w:div w:id="978345355">
      <w:bodyDiv w:val="1"/>
      <w:marLeft w:val="0"/>
      <w:marRight w:val="0"/>
      <w:marTop w:val="0"/>
      <w:marBottom w:val="0"/>
      <w:divBdr>
        <w:top w:val="none" w:sz="0" w:space="0" w:color="auto"/>
        <w:left w:val="none" w:sz="0" w:space="0" w:color="auto"/>
        <w:bottom w:val="none" w:sz="0" w:space="0" w:color="auto"/>
        <w:right w:val="none" w:sz="0" w:space="0" w:color="auto"/>
      </w:divBdr>
    </w:div>
    <w:div w:id="1478297409">
      <w:bodyDiv w:val="1"/>
      <w:marLeft w:val="0"/>
      <w:marRight w:val="0"/>
      <w:marTop w:val="0"/>
      <w:marBottom w:val="0"/>
      <w:divBdr>
        <w:top w:val="none" w:sz="0" w:space="0" w:color="auto"/>
        <w:left w:val="none" w:sz="0" w:space="0" w:color="auto"/>
        <w:bottom w:val="none" w:sz="0" w:space="0" w:color="auto"/>
        <w:right w:val="none" w:sz="0" w:space="0" w:color="auto"/>
      </w:divBdr>
      <w:divsChild>
        <w:div w:id="1077095736">
          <w:marLeft w:val="835"/>
          <w:marRight w:val="0"/>
          <w:marTop w:val="82"/>
          <w:marBottom w:val="0"/>
          <w:divBdr>
            <w:top w:val="none" w:sz="0" w:space="0" w:color="auto"/>
            <w:left w:val="none" w:sz="0" w:space="0" w:color="auto"/>
            <w:bottom w:val="none" w:sz="0" w:space="0" w:color="auto"/>
            <w:right w:val="none" w:sz="0" w:space="0" w:color="auto"/>
          </w:divBdr>
        </w:div>
      </w:divsChild>
    </w:div>
    <w:div w:id="1768963356">
      <w:bodyDiv w:val="1"/>
      <w:marLeft w:val="0"/>
      <w:marRight w:val="0"/>
      <w:marTop w:val="0"/>
      <w:marBottom w:val="0"/>
      <w:divBdr>
        <w:top w:val="none" w:sz="0" w:space="0" w:color="auto"/>
        <w:left w:val="none" w:sz="0" w:space="0" w:color="auto"/>
        <w:bottom w:val="none" w:sz="0" w:space="0" w:color="auto"/>
        <w:right w:val="none" w:sz="0" w:space="0" w:color="auto"/>
      </w:divBdr>
      <w:divsChild>
        <w:div w:id="153449966">
          <w:marLeft w:val="547"/>
          <w:marRight w:val="0"/>
          <w:marTop w:val="120"/>
          <w:marBottom w:val="0"/>
          <w:divBdr>
            <w:top w:val="none" w:sz="0" w:space="0" w:color="auto"/>
            <w:left w:val="none" w:sz="0" w:space="0" w:color="auto"/>
            <w:bottom w:val="none" w:sz="0" w:space="0" w:color="auto"/>
            <w:right w:val="none" w:sz="0" w:space="0" w:color="auto"/>
          </w:divBdr>
        </w:div>
        <w:div w:id="287588958">
          <w:marLeft w:val="547"/>
          <w:marRight w:val="0"/>
          <w:marTop w:val="120"/>
          <w:marBottom w:val="0"/>
          <w:divBdr>
            <w:top w:val="none" w:sz="0" w:space="0" w:color="auto"/>
            <w:left w:val="none" w:sz="0" w:space="0" w:color="auto"/>
            <w:bottom w:val="none" w:sz="0" w:space="0" w:color="auto"/>
            <w:right w:val="none" w:sz="0" w:space="0" w:color="auto"/>
          </w:divBdr>
        </w:div>
        <w:div w:id="807212616">
          <w:marLeft w:val="1267"/>
          <w:marRight w:val="0"/>
          <w:marTop w:val="60"/>
          <w:marBottom w:val="0"/>
          <w:divBdr>
            <w:top w:val="none" w:sz="0" w:space="0" w:color="auto"/>
            <w:left w:val="none" w:sz="0" w:space="0" w:color="auto"/>
            <w:bottom w:val="none" w:sz="0" w:space="0" w:color="auto"/>
            <w:right w:val="none" w:sz="0" w:space="0" w:color="auto"/>
          </w:divBdr>
        </w:div>
      </w:divsChild>
    </w:div>
    <w:div w:id="19724436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chart" Target="charts/chart2.xml"/><Relationship Id="rId4" Type="http://schemas.openxmlformats.org/officeDocument/2006/relationships/settings" Target="settings.xml"/><Relationship Id="rId9" Type="http://schemas.openxmlformats.org/officeDocument/2006/relationships/chart" Target="charts/chart1.xml"/><Relationship Id="rId14" Type="http://schemas.openxmlformats.org/officeDocument/2006/relationships/footer" Target="footer2.xml"/></Relationships>
</file>

<file path=word/charts/_rels/chart1.xml.rels><?xml version="1.0" encoding="UTF-8" standalone="yes"?>
<Relationships xmlns="http://schemas.openxmlformats.org/package/2006/relationships"><Relationship Id="rId3" Type="http://schemas.openxmlformats.org/officeDocument/2006/relationships/themeOverride" Target="../theme/themeOverride1.xml"/><Relationship Id="rId2" Type="http://schemas.microsoft.com/office/2011/relationships/chartColorStyle" Target="colors1.xml"/><Relationship Id="rId1" Type="http://schemas.microsoft.com/office/2011/relationships/chartStyle" Target="style1.xml"/><Relationship Id="rId4" Type="http://schemas.openxmlformats.org/officeDocument/2006/relationships/package" Target="../embeddings/Microsoft_Excel_Worksheet.xlsx"/></Relationships>
</file>

<file path=word/charts/_rels/chart2.xml.rels><?xml version="1.0" encoding="UTF-8" standalone="yes"?>
<Relationships xmlns="http://schemas.openxmlformats.org/package/2006/relationships"><Relationship Id="rId3" Type="http://schemas.openxmlformats.org/officeDocument/2006/relationships/themeOverride" Target="../theme/themeOverride2.xml"/><Relationship Id="rId2" Type="http://schemas.microsoft.com/office/2011/relationships/chartColorStyle" Target="colors2.xml"/><Relationship Id="rId1" Type="http://schemas.microsoft.com/office/2011/relationships/chartStyle" Target="style2.xml"/><Relationship Id="rId4" Type="http://schemas.openxmlformats.org/officeDocument/2006/relationships/package" Target="../embeddings/Microsoft_Excel_Worksheet1.xlsx"/></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0"/>
    <c:plotArea>
      <c:layout/>
      <c:scatterChart>
        <c:scatterStyle val="smoothMarker"/>
        <c:varyColors val="0"/>
        <c:ser>
          <c:idx val="0"/>
          <c:order val="0"/>
          <c:tx>
            <c:strRef>
              <c:f>Sheet1!$G$2</c:f>
              <c:strCache>
                <c:ptCount val="1"/>
                <c:pt idx="0">
                  <c:v>fully dynamic resource indication</c:v>
                </c:pt>
              </c:strCache>
            </c:strRef>
          </c:tx>
          <c:spPr>
            <a:ln w="22225" cap="rnd">
              <a:solidFill>
                <a:schemeClr val="accent2"/>
              </a:solidFill>
            </a:ln>
            <a:effectLst>
              <a:glow rad="139700">
                <a:schemeClr val="accent2">
                  <a:satMod val="175000"/>
                  <a:alpha val="14000"/>
                </a:schemeClr>
              </a:glow>
            </a:effectLst>
          </c:spPr>
          <c:marker>
            <c:symbol val="circle"/>
            <c:size val="3"/>
            <c:spPr>
              <a:solidFill>
                <a:schemeClr val="accent2">
                  <a:lumMod val="60000"/>
                  <a:lumOff val="40000"/>
                </a:schemeClr>
              </a:solidFill>
              <a:ln>
                <a:noFill/>
              </a:ln>
              <a:effectLst>
                <a:glow rad="63500">
                  <a:schemeClr val="accent2">
                    <a:satMod val="175000"/>
                    <a:alpha val="25000"/>
                  </a:schemeClr>
                </a:glow>
              </a:effectLst>
            </c:spPr>
          </c:marker>
          <c:xVal>
            <c:numRef>
              <c:f>Sheet1!$F$4:$F$13</c:f>
              <c:numCache>
                <c:formatCode>General</c:formatCode>
                <c:ptCount val="10"/>
                <c:pt idx="0">
                  <c:v>2.8948</c:v>
                </c:pt>
                <c:pt idx="1">
                  <c:v>5.6428000000000003</c:v>
                </c:pt>
                <c:pt idx="2">
                  <c:v>8.4640000000000004</c:v>
                </c:pt>
                <c:pt idx="3">
                  <c:v>11.3659</c:v>
                </c:pt>
                <c:pt idx="4">
                  <c:v>14.335900000000001</c:v>
                </c:pt>
                <c:pt idx="5">
                  <c:v>17.0975</c:v>
                </c:pt>
                <c:pt idx="6">
                  <c:v>20.0441</c:v>
                </c:pt>
                <c:pt idx="7">
                  <c:v>22.898800000000001</c:v>
                </c:pt>
                <c:pt idx="8">
                  <c:v>25.803899999999999</c:v>
                </c:pt>
                <c:pt idx="9">
                  <c:v>28.190799999999999</c:v>
                </c:pt>
              </c:numCache>
            </c:numRef>
          </c:xVal>
          <c:yVal>
            <c:numRef>
              <c:f>Sheet1!$G$4:$G$13</c:f>
              <c:numCache>
                <c:formatCode>General</c:formatCode>
                <c:ptCount val="10"/>
                <c:pt idx="0">
                  <c:v>1.1399999999999999</c:v>
                </c:pt>
                <c:pt idx="1">
                  <c:v>2.23</c:v>
                </c:pt>
                <c:pt idx="2">
                  <c:v>3.34</c:v>
                </c:pt>
                <c:pt idx="3">
                  <c:v>4.49</c:v>
                </c:pt>
                <c:pt idx="4">
                  <c:v>5.65</c:v>
                </c:pt>
                <c:pt idx="5">
                  <c:v>6.74</c:v>
                </c:pt>
                <c:pt idx="6">
                  <c:v>7.9</c:v>
                </c:pt>
                <c:pt idx="7">
                  <c:v>9.01</c:v>
                </c:pt>
                <c:pt idx="8">
                  <c:v>10.130000000000001</c:v>
                </c:pt>
                <c:pt idx="9">
                  <c:v>11.02</c:v>
                </c:pt>
              </c:numCache>
            </c:numRef>
          </c:yVal>
          <c:smooth val="0"/>
          <c:extLst>
            <c:ext xmlns:c16="http://schemas.microsoft.com/office/drawing/2014/chart" uri="{C3380CC4-5D6E-409C-BE32-E72D297353CC}">
              <c16:uniqueId val="{00000000-9B99-4469-838D-7D2F6DBCC181}"/>
            </c:ext>
          </c:extLst>
        </c:ser>
        <c:ser>
          <c:idx val="1"/>
          <c:order val="1"/>
          <c:tx>
            <c:strRef>
              <c:f>Sheet1!$H$2</c:f>
              <c:strCache>
                <c:ptCount val="1"/>
                <c:pt idx="0">
                  <c:v>dynamic half pool resource indication</c:v>
                </c:pt>
              </c:strCache>
            </c:strRef>
          </c:tx>
          <c:spPr>
            <a:ln w="22225" cap="rnd">
              <a:solidFill>
                <a:schemeClr val="accent4"/>
              </a:solidFill>
            </a:ln>
            <a:effectLst>
              <a:glow rad="139700">
                <a:schemeClr val="accent4">
                  <a:satMod val="175000"/>
                  <a:alpha val="14000"/>
                </a:schemeClr>
              </a:glow>
            </a:effectLst>
          </c:spPr>
          <c:marker>
            <c:symbol val="circle"/>
            <c:size val="3"/>
            <c:spPr>
              <a:solidFill>
                <a:schemeClr val="accent4">
                  <a:lumMod val="60000"/>
                  <a:lumOff val="40000"/>
                </a:schemeClr>
              </a:solidFill>
              <a:ln>
                <a:noFill/>
              </a:ln>
              <a:effectLst>
                <a:glow rad="63500">
                  <a:schemeClr val="accent4">
                    <a:satMod val="175000"/>
                    <a:alpha val="25000"/>
                  </a:schemeClr>
                </a:glow>
              </a:effectLst>
            </c:spPr>
          </c:marker>
          <c:xVal>
            <c:numRef>
              <c:f>Sheet1!$F$4:$F$13</c:f>
              <c:numCache>
                <c:formatCode>General</c:formatCode>
                <c:ptCount val="10"/>
                <c:pt idx="0">
                  <c:v>2.8948</c:v>
                </c:pt>
                <c:pt idx="1">
                  <c:v>5.6428000000000003</c:v>
                </c:pt>
                <c:pt idx="2">
                  <c:v>8.4640000000000004</c:v>
                </c:pt>
                <c:pt idx="3">
                  <c:v>11.3659</c:v>
                </c:pt>
                <c:pt idx="4">
                  <c:v>14.335900000000001</c:v>
                </c:pt>
                <c:pt idx="5">
                  <c:v>17.0975</c:v>
                </c:pt>
                <c:pt idx="6">
                  <c:v>20.0441</c:v>
                </c:pt>
                <c:pt idx="7">
                  <c:v>22.898800000000001</c:v>
                </c:pt>
                <c:pt idx="8">
                  <c:v>25.803899999999999</c:v>
                </c:pt>
                <c:pt idx="9">
                  <c:v>28.190799999999999</c:v>
                </c:pt>
              </c:numCache>
            </c:numRef>
          </c:xVal>
          <c:yVal>
            <c:numRef>
              <c:f>Sheet1!$H$4:$H$13</c:f>
              <c:numCache>
                <c:formatCode>General</c:formatCode>
                <c:ptCount val="10"/>
                <c:pt idx="0">
                  <c:v>7.41</c:v>
                </c:pt>
                <c:pt idx="1">
                  <c:v>7.47</c:v>
                </c:pt>
                <c:pt idx="2">
                  <c:v>7.68</c:v>
                </c:pt>
                <c:pt idx="3">
                  <c:v>8.1300000000000008</c:v>
                </c:pt>
                <c:pt idx="4">
                  <c:v>8.85</c:v>
                </c:pt>
                <c:pt idx="5">
                  <c:v>9.66</c:v>
                </c:pt>
                <c:pt idx="6">
                  <c:v>10.65</c:v>
                </c:pt>
                <c:pt idx="7">
                  <c:v>11.6</c:v>
                </c:pt>
                <c:pt idx="8">
                  <c:v>12.51</c:v>
                </c:pt>
                <c:pt idx="9">
                  <c:v>13.15</c:v>
                </c:pt>
              </c:numCache>
            </c:numRef>
          </c:yVal>
          <c:smooth val="0"/>
          <c:extLst>
            <c:ext xmlns:c16="http://schemas.microsoft.com/office/drawing/2014/chart" uri="{C3380CC4-5D6E-409C-BE32-E72D297353CC}">
              <c16:uniqueId val="{00000001-9B99-4469-838D-7D2F6DBCC181}"/>
            </c:ext>
          </c:extLst>
        </c:ser>
        <c:ser>
          <c:idx val="2"/>
          <c:order val="2"/>
          <c:tx>
            <c:strRef>
              <c:f>Sheet1!$I$2</c:f>
              <c:strCache>
                <c:ptCount val="1"/>
                <c:pt idx="0">
                  <c:v>periodic CSI-RS</c:v>
                </c:pt>
              </c:strCache>
            </c:strRef>
          </c:tx>
          <c:spPr>
            <a:ln w="22225" cap="rnd">
              <a:solidFill>
                <a:schemeClr val="accent6"/>
              </a:solidFill>
            </a:ln>
            <a:effectLst>
              <a:glow rad="139700">
                <a:schemeClr val="accent6">
                  <a:satMod val="175000"/>
                  <a:alpha val="14000"/>
                </a:schemeClr>
              </a:glow>
            </a:effectLst>
          </c:spPr>
          <c:marker>
            <c:symbol val="circle"/>
            <c:size val="3"/>
            <c:spPr>
              <a:solidFill>
                <a:schemeClr val="accent6">
                  <a:lumMod val="60000"/>
                  <a:lumOff val="40000"/>
                </a:schemeClr>
              </a:solidFill>
              <a:ln>
                <a:noFill/>
              </a:ln>
              <a:effectLst>
                <a:glow rad="63500">
                  <a:schemeClr val="accent6">
                    <a:satMod val="175000"/>
                    <a:alpha val="25000"/>
                  </a:schemeClr>
                </a:glow>
              </a:effectLst>
            </c:spPr>
          </c:marker>
          <c:xVal>
            <c:numRef>
              <c:f>Sheet1!$F$4:$F$13</c:f>
              <c:numCache>
                <c:formatCode>General</c:formatCode>
                <c:ptCount val="10"/>
                <c:pt idx="0">
                  <c:v>2.8948</c:v>
                </c:pt>
                <c:pt idx="1">
                  <c:v>5.6428000000000003</c:v>
                </c:pt>
                <c:pt idx="2">
                  <c:v>8.4640000000000004</c:v>
                </c:pt>
                <c:pt idx="3">
                  <c:v>11.3659</c:v>
                </c:pt>
                <c:pt idx="4">
                  <c:v>14.335900000000001</c:v>
                </c:pt>
                <c:pt idx="5">
                  <c:v>17.0975</c:v>
                </c:pt>
                <c:pt idx="6">
                  <c:v>20.0441</c:v>
                </c:pt>
                <c:pt idx="7">
                  <c:v>22.898800000000001</c:v>
                </c:pt>
                <c:pt idx="8">
                  <c:v>25.803899999999999</c:v>
                </c:pt>
                <c:pt idx="9">
                  <c:v>28.190799999999999</c:v>
                </c:pt>
              </c:numCache>
            </c:numRef>
          </c:xVal>
          <c:yVal>
            <c:numRef>
              <c:f>Sheet1!$I$4:$I$13</c:f>
              <c:numCache>
                <c:formatCode>General</c:formatCode>
                <c:ptCount val="10"/>
                <c:pt idx="0">
                  <c:v>4.07</c:v>
                </c:pt>
                <c:pt idx="1">
                  <c:v>5.93</c:v>
                </c:pt>
                <c:pt idx="2">
                  <c:v>8.15</c:v>
                </c:pt>
                <c:pt idx="3">
                  <c:v>10.74</c:v>
                </c:pt>
                <c:pt idx="4">
                  <c:v>11.85</c:v>
                </c:pt>
                <c:pt idx="5">
                  <c:v>13.33</c:v>
                </c:pt>
                <c:pt idx="6">
                  <c:v>16.3</c:v>
                </c:pt>
                <c:pt idx="7">
                  <c:v>17.04</c:v>
                </c:pt>
                <c:pt idx="8">
                  <c:v>18.52</c:v>
                </c:pt>
                <c:pt idx="9">
                  <c:v>19.63</c:v>
                </c:pt>
              </c:numCache>
            </c:numRef>
          </c:yVal>
          <c:smooth val="0"/>
          <c:extLst>
            <c:ext xmlns:c16="http://schemas.microsoft.com/office/drawing/2014/chart" uri="{C3380CC4-5D6E-409C-BE32-E72D297353CC}">
              <c16:uniqueId val="{00000002-9B99-4469-838D-7D2F6DBCC181}"/>
            </c:ext>
          </c:extLst>
        </c:ser>
        <c:dLbls>
          <c:showLegendKey val="0"/>
          <c:showVal val="0"/>
          <c:showCatName val="0"/>
          <c:showSerName val="0"/>
          <c:showPercent val="0"/>
          <c:showBubbleSize val="0"/>
        </c:dLbls>
        <c:axId val="386708048"/>
        <c:axId val="386708376"/>
      </c:scatterChart>
      <c:valAx>
        <c:axId val="386708048"/>
        <c:scaling>
          <c:orientation val="minMax"/>
        </c:scaling>
        <c:delete val="0"/>
        <c:axPos val="b"/>
        <c:majorGridlines>
          <c:spPr>
            <a:ln w="9525" cap="flat" cmpd="sng" algn="ctr">
              <a:solidFill>
                <a:schemeClr val="dk1">
                  <a:lumMod val="65000"/>
                  <a:lumOff val="35000"/>
                  <a:alpha val="75000"/>
                </a:schemeClr>
              </a:solidFill>
              <a:round/>
            </a:ln>
            <a:effectLst/>
          </c:spPr>
        </c:majorGridlines>
        <c:title>
          <c:tx>
            <c:rich>
              <a:bodyPr rot="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r>
                  <a:rPr lang="en-US"/>
                  <a:t>Average Number of Active UEs per TTI</a:t>
                </a:r>
              </a:p>
            </c:rich>
          </c:tx>
          <c:overlay val="0"/>
          <c:spPr>
            <a:noFill/>
            <a:ln>
              <a:noFill/>
            </a:ln>
            <a:effectLst/>
          </c:spPr>
          <c:txPr>
            <a:bodyPr rot="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1050" b="0" i="0" u="none" strike="noStrike" kern="1200" baseline="0">
                <a:solidFill>
                  <a:schemeClr val="lt1">
                    <a:lumMod val="75000"/>
                  </a:schemeClr>
                </a:solidFill>
                <a:latin typeface="+mn-lt"/>
                <a:ea typeface="+mn-ea"/>
                <a:cs typeface="+mn-cs"/>
              </a:defRPr>
            </a:pPr>
            <a:endParaRPr lang="en-US"/>
          </a:p>
        </c:txPr>
        <c:crossAx val="386708376"/>
        <c:crosses val="autoZero"/>
        <c:crossBetween val="midCat"/>
      </c:valAx>
      <c:valAx>
        <c:axId val="386708376"/>
        <c:scaling>
          <c:orientation val="minMax"/>
        </c:scaling>
        <c:delete val="0"/>
        <c:axPos val="l"/>
        <c:majorGridlines>
          <c:spPr>
            <a:ln w="9525" cap="flat" cmpd="sng" algn="ctr">
              <a:solidFill>
                <a:schemeClr val="dk1">
                  <a:lumMod val="65000"/>
                  <a:lumOff val="35000"/>
                  <a:alpha val="75000"/>
                </a:schemeClr>
              </a:solidFill>
              <a:round/>
            </a:ln>
            <a:effectLst/>
          </c:spPr>
        </c:majorGridlines>
        <c:title>
          <c:tx>
            <c:rich>
              <a:bodyPr rot="-540000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r>
                  <a:rPr lang="en-US"/>
                  <a:t>Overhead (%)</a:t>
                </a:r>
              </a:p>
            </c:rich>
          </c:tx>
          <c:overlay val="0"/>
          <c:spPr>
            <a:noFill/>
            <a:ln>
              <a:noFill/>
            </a:ln>
            <a:effectLst/>
          </c:spPr>
          <c:txPr>
            <a:bodyPr rot="-540000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lt1">
                <a:lumMod val="50000"/>
              </a:schemeClr>
            </a:solidFill>
            <a:round/>
          </a:ln>
          <a:effectLst/>
        </c:spPr>
        <c:txPr>
          <a:bodyPr rot="-60000000" spcFirstLastPara="1" vertOverflow="ellipsis" vert="horz" wrap="square" anchor="ctr" anchorCtr="1"/>
          <a:lstStyle/>
          <a:p>
            <a:pPr>
              <a:defRPr sz="1050" b="0" i="0" u="none" strike="noStrike" kern="1200" baseline="0">
                <a:solidFill>
                  <a:schemeClr val="lt1">
                    <a:lumMod val="75000"/>
                  </a:schemeClr>
                </a:solidFill>
                <a:latin typeface="+mn-lt"/>
                <a:ea typeface="+mn-ea"/>
                <a:cs typeface="+mn-cs"/>
              </a:defRPr>
            </a:pPr>
            <a:endParaRPr lang="en-US"/>
          </a:p>
        </c:txPr>
        <c:crossAx val="386708048"/>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900" b="0" i="0" u="none" strike="noStrike" kern="1200" baseline="0">
              <a:solidFill>
                <a:schemeClr val="lt1">
                  <a:lumMod val="75000"/>
                </a:schemeClr>
              </a:solidFill>
              <a:latin typeface="+mn-lt"/>
              <a:ea typeface="+mn-ea"/>
              <a:cs typeface="+mn-cs"/>
            </a:defRPr>
          </a:pPr>
          <a:endParaRPr lang="en-US"/>
        </a:p>
      </c:txPr>
    </c:legend>
    <c:plotVisOnly val="1"/>
    <c:dispBlanksAs val="gap"/>
    <c:showDLblsOverMax val="0"/>
  </c:chart>
  <c:spPr>
    <a:solidFill>
      <a:schemeClr val="dk1">
        <a:lumMod val="75000"/>
        <a:lumOff val="25000"/>
      </a:schemeClr>
    </a:solidFill>
    <a:ln w="9525" cap="flat" cmpd="sng" algn="ctr">
      <a:solidFill>
        <a:schemeClr val="dk1">
          <a:lumMod val="15000"/>
          <a:lumOff val="85000"/>
        </a:schemeClr>
      </a:solidFill>
      <a:round/>
    </a:ln>
    <a:effectLst/>
  </c:spPr>
  <c:txPr>
    <a:bodyPr/>
    <a:lstStyle/>
    <a:p>
      <a:pPr>
        <a:defRPr sz="1050"/>
      </a:pPr>
      <a:endParaRPr lang="en-US"/>
    </a:p>
  </c:txPr>
  <c:externalData r:id="rId4">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en-US"/>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autoTitleDeleted val="1"/>
    <c:plotArea>
      <c:layout/>
      <c:scatterChart>
        <c:scatterStyle val="smoothMarker"/>
        <c:varyColors val="0"/>
        <c:ser>
          <c:idx val="0"/>
          <c:order val="0"/>
          <c:tx>
            <c:strRef>
              <c:f>Sheet1!$J$2</c:f>
              <c:strCache>
                <c:ptCount val="1"/>
                <c:pt idx="0">
                  <c:v>Overhead Saving of fully dynamic resource indication over dynamic half pool resource indication</c:v>
                </c:pt>
              </c:strCache>
            </c:strRef>
          </c:tx>
          <c:spPr>
            <a:ln w="22225" cap="rnd">
              <a:solidFill>
                <a:schemeClr val="accent1"/>
              </a:solidFill>
            </a:ln>
            <a:effectLst>
              <a:glow rad="139700">
                <a:schemeClr val="accent1">
                  <a:satMod val="175000"/>
                  <a:alpha val="14000"/>
                </a:schemeClr>
              </a:glow>
            </a:effectLst>
          </c:spPr>
          <c:marker>
            <c:symbol val="circle"/>
            <c:size val="3"/>
            <c:spPr>
              <a:solidFill>
                <a:schemeClr val="accent1">
                  <a:lumMod val="60000"/>
                  <a:lumOff val="40000"/>
                </a:schemeClr>
              </a:solidFill>
              <a:ln>
                <a:noFill/>
              </a:ln>
              <a:effectLst>
                <a:glow rad="63500">
                  <a:schemeClr val="accent1">
                    <a:satMod val="175000"/>
                    <a:alpha val="25000"/>
                  </a:schemeClr>
                </a:glow>
              </a:effectLst>
            </c:spPr>
          </c:marker>
          <c:xVal>
            <c:numRef>
              <c:f>Sheet1!$F$4:$F$13</c:f>
              <c:numCache>
                <c:formatCode>General</c:formatCode>
                <c:ptCount val="10"/>
                <c:pt idx="0">
                  <c:v>2.8948</c:v>
                </c:pt>
                <c:pt idx="1">
                  <c:v>5.6428000000000003</c:v>
                </c:pt>
                <c:pt idx="2">
                  <c:v>8.4640000000000004</c:v>
                </c:pt>
                <c:pt idx="3">
                  <c:v>11.3659</c:v>
                </c:pt>
                <c:pt idx="4">
                  <c:v>14.335900000000001</c:v>
                </c:pt>
                <c:pt idx="5">
                  <c:v>17.0975</c:v>
                </c:pt>
                <c:pt idx="6">
                  <c:v>20.0441</c:v>
                </c:pt>
                <c:pt idx="7">
                  <c:v>22.898800000000001</c:v>
                </c:pt>
                <c:pt idx="8">
                  <c:v>25.803899999999999</c:v>
                </c:pt>
                <c:pt idx="9">
                  <c:v>28.190799999999999</c:v>
                </c:pt>
              </c:numCache>
            </c:numRef>
          </c:xVal>
          <c:yVal>
            <c:numRef>
              <c:f>Sheet1!$J$4:$J$13</c:f>
              <c:numCache>
                <c:formatCode>General</c:formatCode>
                <c:ptCount val="10"/>
                <c:pt idx="0">
                  <c:v>6.2700000000000005</c:v>
                </c:pt>
                <c:pt idx="1">
                  <c:v>5.24</c:v>
                </c:pt>
                <c:pt idx="2">
                  <c:v>4.34</c:v>
                </c:pt>
                <c:pt idx="3">
                  <c:v>3.6400000000000006</c:v>
                </c:pt>
                <c:pt idx="4">
                  <c:v>3.1999999999999993</c:v>
                </c:pt>
                <c:pt idx="5">
                  <c:v>2.92</c:v>
                </c:pt>
                <c:pt idx="6">
                  <c:v>2.75</c:v>
                </c:pt>
                <c:pt idx="7">
                  <c:v>2.59</c:v>
                </c:pt>
                <c:pt idx="8">
                  <c:v>2.379999999999999</c:v>
                </c:pt>
                <c:pt idx="9">
                  <c:v>2.1300000000000008</c:v>
                </c:pt>
              </c:numCache>
            </c:numRef>
          </c:yVal>
          <c:smooth val="0"/>
          <c:extLst>
            <c:ext xmlns:c16="http://schemas.microsoft.com/office/drawing/2014/chart" uri="{C3380CC4-5D6E-409C-BE32-E72D297353CC}">
              <c16:uniqueId val="{00000000-EF22-4024-87CE-26B39930CE85}"/>
            </c:ext>
          </c:extLst>
        </c:ser>
        <c:ser>
          <c:idx val="1"/>
          <c:order val="1"/>
          <c:tx>
            <c:strRef>
              <c:f>Sheet1!$K$2</c:f>
              <c:strCache>
                <c:ptCount val="1"/>
                <c:pt idx="0">
                  <c:v>Overhead Saving of fully dynamic over periodic CSI-RS</c:v>
                </c:pt>
              </c:strCache>
            </c:strRef>
          </c:tx>
          <c:spPr>
            <a:ln w="22225" cap="rnd">
              <a:solidFill>
                <a:schemeClr val="accent3"/>
              </a:solidFill>
            </a:ln>
            <a:effectLst>
              <a:glow rad="139700">
                <a:schemeClr val="accent3">
                  <a:satMod val="175000"/>
                  <a:alpha val="14000"/>
                </a:schemeClr>
              </a:glow>
            </a:effectLst>
          </c:spPr>
          <c:marker>
            <c:symbol val="circle"/>
            <c:size val="3"/>
            <c:spPr>
              <a:solidFill>
                <a:schemeClr val="accent3">
                  <a:lumMod val="60000"/>
                  <a:lumOff val="40000"/>
                </a:schemeClr>
              </a:solidFill>
              <a:ln>
                <a:noFill/>
              </a:ln>
              <a:effectLst>
                <a:glow rad="63500">
                  <a:schemeClr val="accent3">
                    <a:satMod val="175000"/>
                    <a:alpha val="25000"/>
                  </a:schemeClr>
                </a:glow>
              </a:effectLst>
            </c:spPr>
          </c:marker>
          <c:xVal>
            <c:numRef>
              <c:f>Sheet1!$F$4:$F$13</c:f>
              <c:numCache>
                <c:formatCode>General</c:formatCode>
                <c:ptCount val="10"/>
                <c:pt idx="0">
                  <c:v>2.8948</c:v>
                </c:pt>
                <c:pt idx="1">
                  <c:v>5.6428000000000003</c:v>
                </c:pt>
                <c:pt idx="2">
                  <c:v>8.4640000000000004</c:v>
                </c:pt>
                <c:pt idx="3">
                  <c:v>11.3659</c:v>
                </c:pt>
                <c:pt idx="4">
                  <c:v>14.335900000000001</c:v>
                </c:pt>
                <c:pt idx="5">
                  <c:v>17.0975</c:v>
                </c:pt>
                <c:pt idx="6">
                  <c:v>20.0441</c:v>
                </c:pt>
                <c:pt idx="7">
                  <c:v>22.898800000000001</c:v>
                </c:pt>
                <c:pt idx="8">
                  <c:v>25.803899999999999</c:v>
                </c:pt>
                <c:pt idx="9">
                  <c:v>28.190799999999999</c:v>
                </c:pt>
              </c:numCache>
            </c:numRef>
          </c:xVal>
          <c:yVal>
            <c:numRef>
              <c:f>Sheet1!$K$4:$K$13</c:f>
              <c:numCache>
                <c:formatCode>General</c:formatCode>
                <c:ptCount val="10"/>
                <c:pt idx="0">
                  <c:v>2.9300000000000006</c:v>
                </c:pt>
                <c:pt idx="1">
                  <c:v>3.6999999999999997</c:v>
                </c:pt>
                <c:pt idx="2">
                  <c:v>4.8100000000000005</c:v>
                </c:pt>
                <c:pt idx="3">
                  <c:v>6.25</c:v>
                </c:pt>
                <c:pt idx="4">
                  <c:v>6.1999999999999993</c:v>
                </c:pt>
                <c:pt idx="5">
                  <c:v>6.59</c:v>
                </c:pt>
                <c:pt idx="6">
                  <c:v>8.4</c:v>
                </c:pt>
                <c:pt idx="7">
                  <c:v>8.0299999999999994</c:v>
                </c:pt>
                <c:pt idx="8">
                  <c:v>8.3899999999999988</c:v>
                </c:pt>
                <c:pt idx="9">
                  <c:v>8.61</c:v>
                </c:pt>
              </c:numCache>
            </c:numRef>
          </c:yVal>
          <c:smooth val="0"/>
          <c:extLst>
            <c:ext xmlns:c16="http://schemas.microsoft.com/office/drawing/2014/chart" uri="{C3380CC4-5D6E-409C-BE32-E72D297353CC}">
              <c16:uniqueId val="{00000001-EF22-4024-87CE-26B39930CE85}"/>
            </c:ext>
          </c:extLst>
        </c:ser>
        <c:dLbls>
          <c:showLegendKey val="0"/>
          <c:showVal val="0"/>
          <c:showCatName val="0"/>
          <c:showSerName val="0"/>
          <c:showPercent val="0"/>
          <c:showBubbleSize val="0"/>
        </c:dLbls>
        <c:axId val="386708048"/>
        <c:axId val="386708376"/>
      </c:scatterChart>
      <c:valAx>
        <c:axId val="386708048"/>
        <c:scaling>
          <c:orientation val="minMax"/>
        </c:scaling>
        <c:delete val="0"/>
        <c:axPos val="b"/>
        <c:majorGridlines>
          <c:spPr>
            <a:ln w="9525" cap="flat" cmpd="sng" algn="ctr">
              <a:solidFill>
                <a:schemeClr val="dk1">
                  <a:lumMod val="65000"/>
                  <a:lumOff val="35000"/>
                  <a:alpha val="75000"/>
                </a:schemeClr>
              </a:solidFill>
              <a:round/>
            </a:ln>
            <a:effectLst/>
          </c:spPr>
        </c:majorGridlines>
        <c:title>
          <c:tx>
            <c:rich>
              <a:bodyPr rot="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r>
                  <a:rPr lang="en-US"/>
                  <a:t>Average Number of Active UEs per TTI</a:t>
                </a:r>
              </a:p>
            </c:rich>
          </c:tx>
          <c:overlay val="0"/>
          <c:spPr>
            <a:noFill/>
            <a:ln>
              <a:noFill/>
            </a:ln>
            <a:effectLst/>
          </c:spPr>
          <c:txPr>
            <a:bodyPr rot="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noFill/>
            <a:round/>
          </a:ln>
          <a:effectLst/>
        </c:spPr>
        <c:txPr>
          <a:bodyPr rot="-60000000" spcFirstLastPara="1" vertOverflow="ellipsis" vert="horz" wrap="square" anchor="ctr" anchorCtr="1"/>
          <a:lstStyle/>
          <a:p>
            <a:pPr>
              <a:defRPr sz="1050" b="0" i="0" u="none" strike="noStrike" kern="1200" baseline="0">
                <a:solidFill>
                  <a:schemeClr val="lt1">
                    <a:lumMod val="75000"/>
                  </a:schemeClr>
                </a:solidFill>
                <a:latin typeface="+mn-lt"/>
                <a:ea typeface="+mn-ea"/>
                <a:cs typeface="+mn-cs"/>
              </a:defRPr>
            </a:pPr>
            <a:endParaRPr lang="en-US"/>
          </a:p>
        </c:txPr>
        <c:crossAx val="386708376"/>
        <c:crosses val="autoZero"/>
        <c:crossBetween val="midCat"/>
      </c:valAx>
      <c:valAx>
        <c:axId val="386708376"/>
        <c:scaling>
          <c:orientation val="minMax"/>
        </c:scaling>
        <c:delete val="0"/>
        <c:axPos val="l"/>
        <c:majorGridlines>
          <c:spPr>
            <a:ln w="9525" cap="flat" cmpd="sng" algn="ctr">
              <a:solidFill>
                <a:schemeClr val="dk1">
                  <a:lumMod val="65000"/>
                  <a:lumOff val="35000"/>
                  <a:alpha val="75000"/>
                </a:schemeClr>
              </a:solidFill>
              <a:round/>
            </a:ln>
            <a:effectLst/>
          </c:spPr>
        </c:majorGridlines>
        <c:title>
          <c:tx>
            <c:rich>
              <a:bodyPr rot="-540000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r>
                  <a:rPr lang="en-US"/>
                  <a:t>Overhead Savings (%)</a:t>
                </a:r>
              </a:p>
            </c:rich>
          </c:tx>
          <c:overlay val="0"/>
          <c:spPr>
            <a:noFill/>
            <a:ln>
              <a:noFill/>
            </a:ln>
            <a:effectLst/>
          </c:spPr>
          <c:txPr>
            <a:bodyPr rot="-5400000" spcFirstLastPara="1" vertOverflow="ellipsis" vert="horz" wrap="square" anchor="ctr" anchorCtr="1"/>
            <a:lstStyle/>
            <a:p>
              <a:pPr>
                <a:defRPr sz="1050" b="1" i="0" u="none" strike="noStrike" kern="1200" baseline="0">
                  <a:solidFill>
                    <a:schemeClr val="lt1">
                      <a:lumMod val="75000"/>
                    </a:schemeClr>
                  </a:solidFill>
                  <a:latin typeface="+mn-lt"/>
                  <a:ea typeface="+mn-ea"/>
                  <a:cs typeface="+mn-cs"/>
                </a:defRPr>
              </a:pPr>
              <a:endParaRPr lang="en-US"/>
            </a:p>
          </c:txPr>
        </c:title>
        <c:numFmt formatCode="General" sourceLinked="1"/>
        <c:majorTickMark val="none"/>
        <c:minorTickMark val="none"/>
        <c:tickLblPos val="nextTo"/>
        <c:spPr>
          <a:noFill/>
          <a:ln w="9525" cap="flat" cmpd="sng" algn="ctr">
            <a:solidFill>
              <a:schemeClr val="lt1">
                <a:lumMod val="50000"/>
              </a:schemeClr>
            </a:solidFill>
            <a:round/>
          </a:ln>
          <a:effectLst/>
        </c:spPr>
        <c:txPr>
          <a:bodyPr rot="-60000000" spcFirstLastPara="1" vertOverflow="ellipsis" vert="horz" wrap="square" anchor="ctr" anchorCtr="1"/>
          <a:lstStyle/>
          <a:p>
            <a:pPr>
              <a:defRPr sz="1050" b="0" i="0" u="none" strike="noStrike" kern="1200" baseline="0">
                <a:solidFill>
                  <a:schemeClr val="lt1">
                    <a:lumMod val="75000"/>
                  </a:schemeClr>
                </a:solidFill>
                <a:latin typeface="+mn-lt"/>
                <a:ea typeface="+mn-ea"/>
                <a:cs typeface="+mn-cs"/>
              </a:defRPr>
            </a:pPr>
            <a:endParaRPr lang="en-US"/>
          </a:p>
        </c:txPr>
        <c:crossAx val="386708048"/>
        <c:crosses val="autoZero"/>
        <c:crossBetween val="midCat"/>
      </c:valAx>
      <c:spPr>
        <a:noFill/>
        <a:ln>
          <a:noFill/>
        </a:ln>
        <a:effectLst/>
      </c:spPr>
    </c:plotArea>
    <c:legend>
      <c:legendPos val="t"/>
      <c:overlay val="0"/>
      <c:spPr>
        <a:noFill/>
        <a:ln>
          <a:noFill/>
        </a:ln>
        <a:effectLst/>
      </c:spPr>
      <c:txPr>
        <a:bodyPr rot="0" spcFirstLastPara="1" vertOverflow="ellipsis" vert="horz" wrap="square" anchor="ctr" anchorCtr="1"/>
        <a:lstStyle/>
        <a:p>
          <a:pPr>
            <a:defRPr sz="1000" b="0" i="0" u="none" strike="noStrike" kern="1200" baseline="0">
              <a:solidFill>
                <a:schemeClr val="lt1">
                  <a:lumMod val="75000"/>
                </a:schemeClr>
              </a:solidFill>
              <a:latin typeface="+mn-lt"/>
              <a:ea typeface="+mn-ea"/>
              <a:cs typeface="+mn-cs"/>
            </a:defRPr>
          </a:pPr>
          <a:endParaRPr lang="en-US"/>
        </a:p>
      </c:txPr>
    </c:legend>
    <c:plotVisOnly val="1"/>
    <c:dispBlanksAs val="gap"/>
    <c:showDLblsOverMax val="0"/>
  </c:chart>
  <c:spPr>
    <a:solidFill>
      <a:schemeClr val="dk1">
        <a:lumMod val="75000"/>
        <a:lumOff val="25000"/>
      </a:schemeClr>
    </a:solidFill>
    <a:ln w="9525" cap="flat" cmpd="sng" algn="ctr">
      <a:solidFill>
        <a:schemeClr val="dk1">
          <a:lumMod val="15000"/>
          <a:lumOff val="85000"/>
        </a:schemeClr>
      </a:solidFill>
      <a:round/>
    </a:ln>
    <a:effectLst/>
  </c:spPr>
  <c:txPr>
    <a:bodyPr/>
    <a:lstStyle/>
    <a:p>
      <a:pPr>
        <a:defRPr sz="1050"/>
      </a:pPr>
      <a:endParaRPr lang="en-US"/>
    </a:p>
  </c:txPr>
  <c:externalData r:id="rId4">
    <c:autoUpdate val="0"/>
  </c:externalData>
</c:chartSpace>
</file>

<file path=word/charts/colors1.xml><?xml version="1.0" encoding="utf-8"?>
<cs:colorStyle xmlns:cs="http://schemas.microsoft.com/office/drawing/2012/chartStyle" xmlns:a="http://schemas.openxmlformats.org/drawingml/2006/main" meth="cycle" id="12">
  <a:schemeClr val="accent2"/>
  <a:schemeClr val="accent4"/>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1">
  <a:schemeClr val="accent1"/>
  <a:schemeClr val="accent3"/>
  <a:schemeClr val="accent5"/>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45">
  <cs:axisTitle>
    <cs:lnRef idx="0"/>
    <cs:fillRef idx="0"/>
    <cs:effectRef idx="0"/>
    <cs:fontRef idx="minor">
      <a:schemeClr val="lt1">
        <a:lumMod val="75000"/>
      </a:schemeClr>
    </cs:fontRef>
    <cs:defRPr sz="900" b="1" kern="1200"/>
  </cs:axisTitle>
  <cs:categoryAxis>
    <cs:lnRef idx="0"/>
    <cs:fillRef idx="0"/>
    <cs:effectRef idx="0"/>
    <cs:fontRef idx="minor">
      <a:schemeClr val="lt1">
        <a:lumMod val="75000"/>
      </a:schemeClr>
    </cs:fontRef>
    <cs:defRPr sz="900" kern="1200"/>
  </cs:categoryAxis>
  <cs:chartArea>
    <cs:lnRef idx="0"/>
    <cs:fillRef idx="0"/>
    <cs:effectRef idx="0"/>
    <cs:fontRef idx="minor">
      <a:schemeClr val="dk1"/>
    </cs:fontRef>
    <cs:spPr>
      <a:solidFill>
        <a:schemeClr val="dk1">
          <a:lumMod val="75000"/>
          <a:lumOff val="25000"/>
        </a:schemeClr>
      </a:solidFill>
      <a:ln w="9525" cap="flat" cmpd="sng" algn="ctr">
        <a:solidFill>
          <a:schemeClr val="dk1">
            <a:lumMod val="15000"/>
            <a:lumOff val="85000"/>
          </a:schemeClr>
        </a:solidFill>
        <a:round/>
      </a:ln>
    </cs:spPr>
    <cs:defRPr sz="9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lt1">
        <a:lumMod val="15000"/>
        <a:lumOff val="85000"/>
      </a:schemeClr>
    </cs:fontRef>
    <cs:spPr>
      <a:solidFill>
        <a:schemeClr val="dk1">
          <a:lumMod val="65000"/>
          <a:lumOff val="3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
  <cs:dataPoint3D>
    <cs:lnRef idx="0">
      <cs:styleClr val="auto"/>
    </cs:lnRef>
    <cs:fillRef idx="0">
      <cs:styleClr val="auto"/>
    </cs:fillRef>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3D>
  <cs:dataPointLine>
    <cs:lnRef idx="0">
      <cs:styleClr val="auto"/>
    </cs:lnRef>
    <cs:fillRef idx="0">
      <cs:styleClr val="auto"/>
    </cs:fillRef>
    <cs:effectRef idx="0">
      <cs:styleClr val="auto"/>
    </cs:effectRef>
    <cs:fontRef idx="minor">
      <a:schemeClr val="dk1"/>
    </cs:fontRef>
    <cs:spPr>
      <a:ln w="22225" cap="rnd">
        <a:solidFill>
          <a:schemeClr val="phClr"/>
        </a:solidFill>
      </a:ln>
      <a:effectLst>
        <a:glow rad="139700">
          <a:schemeClr val="phClr">
            <a:satMod val="175000"/>
            <a:alpha val="14000"/>
          </a:schemeClr>
        </a:glow>
      </a:effectLst>
    </cs:spPr>
  </cs:dataPointLine>
  <cs:dataPointMarker>
    <cs:lnRef idx="0">
      <cs:styleClr val="auto"/>
    </cs:lnRef>
    <cs:fillRef idx="0">
      <cs:styleClr val="auto"/>
    </cs:fillRef>
    <cs:effectRef idx="0">
      <cs:styleClr val="auto"/>
    </cs:effectRef>
    <cs:fontRef idx="minor">
      <a:schemeClr val="dk1"/>
    </cs:fontRef>
    <cs:spPr>
      <a:solidFill>
        <a:schemeClr val="phClr">
          <a:lumMod val="60000"/>
          <a:lumOff val="40000"/>
        </a:schemeClr>
      </a:solidFill>
      <a:effectLst>
        <a:glow rad="63500">
          <a:schemeClr val="phClr">
            <a:satMod val="175000"/>
            <a:alpha val="25000"/>
          </a:schemeClr>
        </a:glow>
      </a:effectLst>
    </cs:spPr>
  </cs:dataPointMarker>
  <cs:dataPointMarkerLayout symbol="circle" size="3"/>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dk1">
            <a:lumMod val="50000"/>
            <a:lumOff val="50000"/>
          </a:schemeClr>
        </a:solidFill>
      </a:ln>
    </cs:spPr>
    <cs:defRPr sz="900" kern="1200"/>
  </cs:dataTable>
  <cs:downBar>
    <cs:lnRef idx="0"/>
    <cs:fillRef idx="0"/>
    <cs:effectRef idx="0"/>
    <cs:fontRef idx="minor">
      <a:schemeClr val="lt1"/>
    </cs:fontRef>
    <cs:spPr>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a:ln w="9525">
        <a:solidFill>
          <a:schemeClr val="lt1">
            <a:lumMod val="50000"/>
          </a:schemeClr>
        </a:solidFill>
        <a:round/>
      </a:ln>
    </cs:spPr>
  </cs:dropLine>
  <cs:errorBar>
    <cs:lnRef idx="0"/>
    <cs:fillRef idx="0"/>
    <cs:effectRef idx="0"/>
    <cs:fontRef idx="minor">
      <a:schemeClr val="dk1"/>
    </cs:fontRef>
    <cs:spPr>
      <a:ln w="9525">
        <a:solidFill>
          <a:schemeClr val="lt1">
            <a:lumMod val="50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dk1">
            <a:lumMod val="65000"/>
            <a:lumOff val="35000"/>
            <a:alpha val="75000"/>
          </a:schemeClr>
        </a:solidFill>
        <a:round/>
      </a:ln>
    </cs:spPr>
  </cs:gridlineMajor>
  <cs:gridlineMinor>
    <cs:lnRef idx="0"/>
    <cs:fillRef idx="0"/>
    <cs:effectRef idx="0"/>
    <cs:fontRef idx="minor">
      <a:schemeClr val="tx1"/>
    </cs:fontRef>
    <cs:spPr>
      <a:ln w="9525" cap="flat" cmpd="sng" algn="ctr">
        <a:solidFill>
          <a:schemeClr val="dk1">
            <a:lumMod val="65000"/>
            <a:lumOff val="35000"/>
            <a:alpha val="25000"/>
          </a:schemeClr>
        </a:solidFill>
        <a:round/>
      </a:ln>
    </cs:spPr>
  </cs:gridlineMinor>
  <cs:hiLoLine>
    <cs:lnRef idx="0"/>
    <cs:fillRef idx="0"/>
    <cs:effectRef idx="0"/>
    <cs:fontRef idx="minor">
      <a:schemeClr val="dk1"/>
    </cs:fontRef>
    <cs:spPr>
      <a:ln w="9525">
        <a:solidFill>
          <a:schemeClr val="lt1">
            <a:lumMod val="50000"/>
          </a:schemeClr>
        </a:solidFill>
        <a:round/>
      </a:ln>
    </cs:spPr>
  </cs:hiLoLine>
  <cs:leaderLine>
    <cs:lnRef idx="0"/>
    <cs:fillRef idx="0"/>
    <cs:effectRef idx="0"/>
    <cs:fontRef idx="minor">
      <a:schemeClr val="dk1"/>
    </cs:fontRef>
    <cs:spPr>
      <a:ln w="9525">
        <a:solidFill>
          <a:schemeClr val="lt1">
            <a:lumMod val="50000"/>
          </a:schemeClr>
        </a:solidFill>
        <a:round/>
      </a:ln>
    </cs:spPr>
  </cs:leaderLine>
  <cs:legend>
    <cs:lnRef idx="0"/>
    <cs:fillRef idx="0"/>
    <cs:effectRef idx="0"/>
    <cs:fontRef idx="minor">
      <a:schemeClr val="lt1">
        <a:lumMod val="7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lt1">
        <a:lumMod val="75000"/>
      </a:schemeClr>
    </cs:fontRef>
    <cs:defRPr sz="900" kern="1200"/>
  </cs:seriesAxis>
  <cs:seriesLine>
    <cs:lnRef idx="0"/>
    <cs:fillRef idx="0"/>
    <cs:effectRef idx="0"/>
    <cs:fontRef idx="minor">
      <a:schemeClr val="dk1"/>
    </cs:fontRef>
    <cs:spPr>
      <a:ln w="9525">
        <a:solidFill>
          <a:schemeClr val="lt1">
            <a:lumMod val="50000"/>
          </a:schemeClr>
        </a:solidFill>
        <a:round/>
      </a:ln>
    </cs:spPr>
  </cs:seriesLine>
  <cs:title>
    <cs:lnRef idx="0"/>
    <cs:fillRef idx="0"/>
    <cs:effectRef idx="0"/>
    <cs:fontRef idx="minor">
      <a:schemeClr val="lt1">
        <a:lumMod val="85000"/>
      </a:schemeClr>
    </cs:fontRef>
    <cs:defRPr sz="1400" b="1" kern="1200" cap="none" baseline="0"/>
  </cs:title>
  <cs:trendline>
    <cs:lnRef idx="0">
      <cs:styleClr val="auto"/>
    </cs:lnRef>
    <cs:fillRef idx="0"/>
    <cs:effectRef idx="0"/>
    <cs:fontRef idx="minor">
      <a:schemeClr val="lt1"/>
    </cs:fontRef>
    <cs:spPr>
      <a:ln w="25400" cap="rnd">
        <a:solidFill>
          <a:schemeClr val="phClr">
            <a:alpha val="50000"/>
          </a:schemeClr>
        </a:solidFill>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dk1"/>
    </cs:fontRef>
    <cs:spPr>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spPr>
      <a:ln w="9525" cap="flat" cmpd="sng" algn="ctr">
        <a:solidFill>
          <a:schemeClr val="lt1">
            <a:lumMod val="50000"/>
          </a:schemeClr>
        </a:solidFill>
        <a:round/>
      </a:ln>
    </cs:spPr>
    <cs:defRPr sz="900" kern="1200"/>
    <cs:bodyPr/>
  </cs:valueAxis>
  <cs:wall>
    <cs:lnRef idx="0"/>
    <cs:fillRef idx="0"/>
    <cs:effectRef idx="0"/>
    <cs:fontRef idx="minor">
      <a:schemeClr val="dk1"/>
    </cs:fontRef>
  </cs:wall>
</cs:chartStyle>
</file>

<file path=word/charts/style2.xml><?xml version="1.0" encoding="utf-8"?>
<cs:chartStyle xmlns:cs="http://schemas.microsoft.com/office/drawing/2012/chartStyle" xmlns:a="http://schemas.openxmlformats.org/drawingml/2006/main" id="245">
  <cs:axisTitle>
    <cs:lnRef idx="0"/>
    <cs:fillRef idx="0"/>
    <cs:effectRef idx="0"/>
    <cs:fontRef idx="minor">
      <a:schemeClr val="lt1">
        <a:lumMod val="75000"/>
      </a:schemeClr>
    </cs:fontRef>
    <cs:defRPr sz="900" b="1" kern="1200"/>
  </cs:axisTitle>
  <cs:categoryAxis>
    <cs:lnRef idx="0"/>
    <cs:fillRef idx="0"/>
    <cs:effectRef idx="0"/>
    <cs:fontRef idx="minor">
      <a:schemeClr val="lt1">
        <a:lumMod val="75000"/>
      </a:schemeClr>
    </cs:fontRef>
    <cs:defRPr sz="900" kern="1200"/>
  </cs:categoryAxis>
  <cs:chartArea>
    <cs:lnRef idx="0"/>
    <cs:fillRef idx="0"/>
    <cs:effectRef idx="0"/>
    <cs:fontRef idx="minor">
      <a:schemeClr val="dk1"/>
    </cs:fontRef>
    <cs:spPr>
      <a:solidFill>
        <a:schemeClr val="dk1">
          <a:lumMod val="75000"/>
          <a:lumOff val="25000"/>
        </a:schemeClr>
      </a:solidFill>
      <a:ln w="9525" cap="flat" cmpd="sng" algn="ctr">
        <a:solidFill>
          <a:schemeClr val="dk1">
            <a:lumMod val="15000"/>
            <a:lumOff val="85000"/>
          </a:schemeClr>
        </a:solidFill>
        <a:round/>
      </a:ln>
    </cs:spPr>
    <cs:defRPr sz="900" kern="1200"/>
  </cs:chartArea>
  <cs:dataLabel>
    <cs:lnRef idx="0"/>
    <cs:fillRef idx="0"/>
    <cs:effectRef idx="0"/>
    <cs:fontRef idx="minor">
      <a:schemeClr val="lt1">
        <a:lumMod val="75000"/>
      </a:schemeClr>
    </cs:fontRef>
    <cs:defRPr sz="900" kern="1200"/>
  </cs:dataLabel>
  <cs:dataLabelCallout>
    <cs:lnRef idx="0"/>
    <cs:fillRef idx="0"/>
    <cs:effectRef idx="0"/>
    <cs:fontRef idx="minor">
      <a:schemeClr val="lt1">
        <a:lumMod val="15000"/>
        <a:lumOff val="85000"/>
      </a:schemeClr>
    </cs:fontRef>
    <cs:spPr>
      <a:solidFill>
        <a:schemeClr val="dk1">
          <a:lumMod val="65000"/>
          <a:lumOff val="35000"/>
        </a:schemeClr>
      </a:solidFill>
    </cs:spPr>
    <cs:defRPr sz="900" kern="1200"/>
    <cs:bodyPr rot="0" spcFirstLastPara="1" vertOverflow="clip" horzOverflow="clip" vert="horz" wrap="square" lIns="36576" tIns="18288" rIns="36576" bIns="18288" anchor="ctr" anchorCtr="1">
      <a:spAutoFit/>
    </cs:bodyPr>
  </cs:dataLabelCallout>
  <cs:dataPoint>
    <cs:lnRef idx="0">
      <cs:styleClr val="auto"/>
    </cs:lnRef>
    <cs:fillRef idx="0"/>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
  <cs:dataPoint3D>
    <cs:lnRef idx="0">
      <cs:styleClr val="auto"/>
    </cs:lnRef>
    <cs:fillRef idx="0">
      <cs:styleClr val="auto"/>
    </cs:fillRef>
    <cs:effectRef idx="0">
      <cs:styleClr val="auto"/>
    </cs:effectRef>
    <cs:fontRef idx="minor">
      <a:schemeClr val="dk1"/>
    </cs:fontRef>
    <cs:spPr>
      <a:ln w="9525" cap="flat" cmpd="sng" algn="ctr">
        <a:solidFill>
          <a:schemeClr val="phClr"/>
        </a:solidFill>
        <a:miter lim="800000"/>
      </a:ln>
      <a:effectLst>
        <a:glow rad="63500">
          <a:schemeClr val="phClr">
            <a:satMod val="175000"/>
            <a:alpha val="25000"/>
          </a:schemeClr>
        </a:glow>
      </a:effectLst>
    </cs:spPr>
  </cs:dataPoint3D>
  <cs:dataPointLine>
    <cs:lnRef idx="0">
      <cs:styleClr val="auto"/>
    </cs:lnRef>
    <cs:fillRef idx="0">
      <cs:styleClr val="auto"/>
    </cs:fillRef>
    <cs:effectRef idx="0">
      <cs:styleClr val="auto"/>
    </cs:effectRef>
    <cs:fontRef idx="minor">
      <a:schemeClr val="dk1"/>
    </cs:fontRef>
    <cs:spPr>
      <a:ln w="22225" cap="rnd">
        <a:solidFill>
          <a:schemeClr val="phClr"/>
        </a:solidFill>
      </a:ln>
      <a:effectLst>
        <a:glow rad="139700">
          <a:schemeClr val="phClr">
            <a:satMod val="175000"/>
            <a:alpha val="14000"/>
          </a:schemeClr>
        </a:glow>
      </a:effectLst>
    </cs:spPr>
  </cs:dataPointLine>
  <cs:dataPointMarker>
    <cs:lnRef idx="0">
      <cs:styleClr val="auto"/>
    </cs:lnRef>
    <cs:fillRef idx="0">
      <cs:styleClr val="auto"/>
    </cs:fillRef>
    <cs:effectRef idx="0">
      <cs:styleClr val="auto"/>
    </cs:effectRef>
    <cs:fontRef idx="minor">
      <a:schemeClr val="dk1"/>
    </cs:fontRef>
    <cs:spPr>
      <a:solidFill>
        <a:schemeClr val="phClr">
          <a:lumMod val="60000"/>
          <a:lumOff val="40000"/>
        </a:schemeClr>
      </a:solidFill>
      <a:effectLst>
        <a:glow rad="63500">
          <a:schemeClr val="phClr">
            <a:satMod val="175000"/>
            <a:alpha val="25000"/>
          </a:schemeClr>
        </a:glow>
      </a:effectLst>
    </cs:spPr>
  </cs:dataPointMarker>
  <cs:dataPointMarkerLayout symbol="circle" size="3"/>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lt1">
        <a:lumMod val="75000"/>
      </a:schemeClr>
    </cs:fontRef>
    <cs:spPr>
      <a:ln w="9525">
        <a:solidFill>
          <a:schemeClr val="dk1">
            <a:lumMod val="50000"/>
            <a:lumOff val="50000"/>
          </a:schemeClr>
        </a:solidFill>
      </a:ln>
    </cs:spPr>
    <cs:defRPr sz="900" kern="1200"/>
  </cs:dataTable>
  <cs:downBar>
    <cs:lnRef idx="0"/>
    <cs:fillRef idx="0"/>
    <cs:effectRef idx="0"/>
    <cs:fontRef idx="minor">
      <a:schemeClr val="lt1"/>
    </cs:fontRef>
    <cs:spPr>
      <a:solidFill>
        <a:schemeClr val="dk1">
          <a:lumMod val="50000"/>
          <a:lumOff val="50000"/>
        </a:schemeClr>
      </a:solidFill>
      <a:ln w="9525">
        <a:solidFill>
          <a:schemeClr val="dk1">
            <a:lumMod val="75000"/>
          </a:schemeClr>
        </a:solidFill>
        <a:round/>
      </a:ln>
    </cs:spPr>
  </cs:downBar>
  <cs:dropLine>
    <cs:lnRef idx="0"/>
    <cs:fillRef idx="0"/>
    <cs:effectRef idx="0"/>
    <cs:fontRef idx="minor">
      <a:schemeClr val="dk1"/>
    </cs:fontRef>
    <cs:spPr>
      <a:ln w="9525">
        <a:solidFill>
          <a:schemeClr val="lt1">
            <a:lumMod val="50000"/>
          </a:schemeClr>
        </a:solidFill>
        <a:round/>
      </a:ln>
    </cs:spPr>
  </cs:dropLine>
  <cs:errorBar>
    <cs:lnRef idx="0"/>
    <cs:fillRef idx="0"/>
    <cs:effectRef idx="0"/>
    <cs:fontRef idx="minor">
      <a:schemeClr val="dk1"/>
    </cs:fontRef>
    <cs:spPr>
      <a:ln w="9525">
        <a:solidFill>
          <a:schemeClr val="lt1">
            <a:lumMod val="50000"/>
          </a:schemeClr>
        </a:solidFill>
        <a:round/>
      </a:ln>
    </cs:spPr>
  </cs:errorBar>
  <cs:floor>
    <cs:lnRef idx="0"/>
    <cs:fillRef idx="0"/>
    <cs:effectRef idx="0"/>
    <cs:fontRef idx="minor">
      <a:schemeClr val="dk1"/>
    </cs:fontRef>
  </cs:floor>
  <cs:gridlineMajor>
    <cs:lnRef idx="0"/>
    <cs:fillRef idx="0"/>
    <cs:effectRef idx="0"/>
    <cs:fontRef idx="minor">
      <a:schemeClr val="tx1"/>
    </cs:fontRef>
    <cs:spPr>
      <a:ln w="9525" cap="flat" cmpd="sng" algn="ctr">
        <a:solidFill>
          <a:schemeClr val="dk1">
            <a:lumMod val="65000"/>
            <a:lumOff val="35000"/>
            <a:alpha val="75000"/>
          </a:schemeClr>
        </a:solidFill>
        <a:round/>
      </a:ln>
    </cs:spPr>
  </cs:gridlineMajor>
  <cs:gridlineMinor>
    <cs:lnRef idx="0"/>
    <cs:fillRef idx="0"/>
    <cs:effectRef idx="0"/>
    <cs:fontRef idx="minor">
      <a:schemeClr val="tx1"/>
    </cs:fontRef>
    <cs:spPr>
      <a:ln w="9525" cap="flat" cmpd="sng" algn="ctr">
        <a:solidFill>
          <a:schemeClr val="dk1">
            <a:lumMod val="65000"/>
            <a:lumOff val="35000"/>
            <a:alpha val="25000"/>
          </a:schemeClr>
        </a:solidFill>
        <a:round/>
      </a:ln>
    </cs:spPr>
  </cs:gridlineMinor>
  <cs:hiLoLine>
    <cs:lnRef idx="0"/>
    <cs:fillRef idx="0"/>
    <cs:effectRef idx="0"/>
    <cs:fontRef idx="minor">
      <a:schemeClr val="dk1"/>
    </cs:fontRef>
    <cs:spPr>
      <a:ln w="9525">
        <a:solidFill>
          <a:schemeClr val="lt1">
            <a:lumMod val="50000"/>
          </a:schemeClr>
        </a:solidFill>
        <a:round/>
      </a:ln>
    </cs:spPr>
  </cs:hiLoLine>
  <cs:leaderLine>
    <cs:lnRef idx="0"/>
    <cs:fillRef idx="0"/>
    <cs:effectRef idx="0"/>
    <cs:fontRef idx="minor">
      <a:schemeClr val="dk1"/>
    </cs:fontRef>
    <cs:spPr>
      <a:ln w="9525">
        <a:solidFill>
          <a:schemeClr val="lt1">
            <a:lumMod val="50000"/>
          </a:schemeClr>
        </a:solidFill>
        <a:round/>
      </a:ln>
    </cs:spPr>
  </cs:leaderLine>
  <cs:legend>
    <cs:lnRef idx="0"/>
    <cs:fillRef idx="0"/>
    <cs:effectRef idx="0"/>
    <cs:fontRef idx="minor">
      <a:schemeClr val="lt1">
        <a:lumMod val="75000"/>
      </a:schemeClr>
    </cs:fontRef>
    <cs:defRPr sz="900" kern="1200"/>
  </cs:legend>
  <cs:plotArea>
    <cs:lnRef idx="0"/>
    <cs:fillRef idx="0"/>
    <cs:effectRef idx="0"/>
    <cs:fontRef idx="minor">
      <a:schemeClr val="dk1"/>
    </cs:fontRef>
  </cs:plotArea>
  <cs:plotArea3D>
    <cs:lnRef idx="0"/>
    <cs:fillRef idx="0"/>
    <cs:effectRef idx="0"/>
    <cs:fontRef idx="minor">
      <a:schemeClr val="dk1"/>
    </cs:fontRef>
  </cs:plotArea3D>
  <cs:seriesAxis>
    <cs:lnRef idx="0"/>
    <cs:fillRef idx="0"/>
    <cs:effectRef idx="0"/>
    <cs:fontRef idx="minor">
      <a:schemeClr val="lt1">
        <a:lumMod val="75000"/>
      </a:schemeClr>
    </cs:fontRef>
    <cs:defRPr sz="900" kern="1200"/>
  </cs:seriesAxis>
  <cs:seriesLine>
    <cs:lnRef idx="0"/>
    <cs:fillRef idx="0"/>
    <cs:effectRef idx="0"/>
    <cs:fontRef idx="minor">
      <a:schemeClr val="dk1"/>
    </cs:fontRef>
    <cs:spPr>
      <a:ln w="9525">
        <a:solidFill>
          <a:schemeClr val="lt1">
            <a:lumMod val="50000"/>
          </a:schemeClr>
        </a:solidFill>
        <a:round/>
      </a:ln>
    </cs:spPr>
  </cs:seriesLine>
  <cs:title>
    <cs:lnRef idx="0"/>
    <cs:fillRef idx="0"/>
    <cs:effectRef idx="0"/>
    <cs:fontRef idx="minor">
      <a:schemeClr val="lt1">
        <a:lumMod val="85000"/>
      </a:schemeClr>
    </cs:fontRef>
    <cs:defRPr sz="1400" b="1" kern="1200" cap="none" baseline="0"/>
  </cs:title>
  <cs:trendline>
    <cs:lnRef idx="0">
      <cs:styleClr val="auto"/>
    </cs:lnRef>
    <cs:fillRef idx="0"/>
    <cs:effectRef idx="0"/>
    <cs:fontRef idx="minor">
      <a:schemeClr val="lt1"/>
    </cs:fontRef>
    <cs:spPr>
      <a:ln w="25400" cap="rnd">
        <a:solidFill>
          <a:schemeClr val="phClr">
            <a:alpha val="50000"/>
          </a:schemeClr>
        </a:solidFill>
      </a:ln>
    </cs:spPr>
  </cs:trendline>
  <cs:trendlineLabel>
    <cs:lnRef idx="0"/>
    <cs:fillRef idx="0"/>
    <cs:effectRef idx="0"/>
    <cs:fontRef idx="minor">
      <a:schemeClr val="lt1">
        <a:lumMod val="75000"/>
      </a:schemeClr>
    </cs:fontRef>
    <cs:defRPr sz="900" kern="1200"/>
  </cs:trendlineLabel>
  <cs:upBar>
    <cs:lnRef idx="0"/>
    <cs:fillRef idx="0"/>
    <cs:effectRef idx="0"/>
    <cs:fontRef idx="minor">
      <a:schemeClr val="dk1"/>
    </cs:fontRef>
    <cs:spPr>
      <a:solidFill>
        <a:schemeClr val="lt1">
          <a:lumMod val="85000"/>
        </a:schemeClr>
      </a:solidFill>
      <a:ln w="9525">
        <a:solidFill>
          <a:schemeClr val="dk1">
            <a:lumMod val="50000"/>
          </a:schemeClr>
        </a:solidFill>
        <a:round/>
      </a:ln>
    </cs:spPr>
  </cs:upBar>
  <cs:valueAxis>
    <cs:lnRef idx="0"/>
    <cs:fillRef idx="0"/>
    <cs:effectRef idx="0"/>
    <cs:fontRef idx="minor">
      <a:schemeClr val="lt1">
        <a:lumMod val="75000"/>
      </a:schemeClr>
    </cs:fontRef>
    <cs:spPr>
      <a:ln w="9525" cap="flat" cmpd="sng" algn="ctr">
        <a:solidFill>
          <a:schemeClr val="lt1">
            <a:lumMod val="50000"/>
          </a:schemeClr>
        </a:solidFill>
        <a:round/>
      </a:ln>
    </cs:spPr>
    <cs:defRPr sz="900" kern="1200"/>
    <cs:bodyPr/>
  </cs:valueAxis>
  <cs:wall>
    <cs:lnRef idx="0"/>
    <cs:fillRef idx="0"/>
    <cs:effectRef idx="0"/>
    <cs:fontRef idx="minor">
      <a:schemeClr val="dk1"/>
    </cs:fontRef>
  </cs:wall>
</cs:chartStyl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word/theme/themeOverride2.xml><?xml version="1.0" encoding="utf-8"?>
<a:themeOverride xmlns:a="http://schemas.openxmlformats.org/drawingml/2006/main">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ゴシック"/>
      <a:font script="Hang" typeface="맑은 고딕"/>
      <a:font script="Hans" typeface="等线"/>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ED942E0-2CBA-4134-AA76-3AE4017AAF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7</Pages>
  <Words>2000</Words>
  <Characters>11400</Characters>
  <Application>Microsoft Office Word</Application>
  <DocSecurity>0</DocSecurity>
  <Lines>95</Lines>
  <Paragraphs>26</Paragraphs>
  <ScaleCrop>false</ScaleCrop>
  <Company/>
  <LinksUpToDate>false</LinksUpToDate>
  <CharactersWithSpaces>13374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2016-10-01T06:40:00Z</dcterms:created>
  <dcterms:modified xsi:type="dcterms:W3CDTF">2016-10-01T06:41:00Z</dcterms:modified>
</cp:coreProperties>
</file>